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C6CCD" w14:textId="63664A2D" w:rsidR="005E1F4B" w:rsidRDefault="005E1F4B" w:rsidP="009026AE">
      <w:pPr>
        <w:pStyle w:val="3GPPHeader"/>
        <w:snapToGrid w:val="0"/>
      </w:pPr>
      <w:r>
        <w:t>3GPP TSG-RAN WG</w:t>
      </w:r>
      <w:r w:rsidR="00C218FC">
        <w:t>1</w:t>
      </w:r>
      <w:r>
        <w:t xml:space="preserve"> Meeting #</w:t>
      </w:r>
      <w:r w:rsidR="00C218FC">
        <w:t>9</w:t>
      </w:r>
      <w:r w:rsidR="005779ED">
        <w:t>8</w:t>
      </w:r>
      <w:r>
        <w:t xml:space="preserve">                                </w:t>
      </w:r>
      <w:r>
        <w:tab/>
      </w:r>
      <w:r w:rsidR="000B7A5D" w:rsidRPr="000B7A5D">
        <w:t>R1-1908934</w:t>
      </w:r>
      <w:bookmarkStart w:id="0" w:name="_GoBack"/>
      <w:bookmarkEnd w:id="0"/>
    </w:p>
    <w:p w14:paraId="6786BDAD" w14:textId="3EF39A4D" w:rsidR="005E1F4B" w:rsidRDefault="005779ED" w:rsidP="009026AE">
      <w:pPr>
        <w:pStyle w:val="3GPPHeader"/>
        <w:snapToGrid w:val="0"/>
      </w:pPr>
      <w:r w:rsidRPr="005779ED">
        <w:t>Prague</w:t>
      </w:r>
      <w:r w:rsidR="005E1F4B">
        <w:t xml:space="preserve">, </w:t>
      </w:r>
      <w:r w:rsidRPr="005779ED">
        <w:rPr>
          <w:noProof/>
        </w:rPr>
        <w:t>Czech Republic</w:t>
      </w:r>
      <w:r w:rsidR="005E1F4B">
        <w:t xml:space="preserve">, </w:t>
      </w:r>
      <w:r>
        <w:t>26</w:t>
      </w:r>
      <w:r w:rsidR="00092C12" w:rsidRPr="00092C12">
        <w:rPr>
          <w:vertAlign w:val="superscript"/>
        </w:rPr>
        <w:t>th</w:t>
      </w:r>
      <w:r w:rsidR="00092C12">
        <w:t xml:space="preserve"> </w:t>
      </w:r>
      <w:r w:rsidR="005E1F4B">
        <w:t xml:space="preserve">– </w:t>
      </w:r>
      <w:r>
        <w:t>30</w:t>
      </w:r>
      <w:r w:rsidR="00092C12" w:rsidRPr="00092C12">
        <w:rPr>
          <w:vertAlign w:val="superscript"/>
        </w:rPr>
        <w:t>th</w:t>
      </w:r>
      <w:r w:rsidR="00092C12">
        <w:t xml:space="preserve"> </w:t>
      </w:r>
      <w:r>
        <w:t>August</w:t>
      </w:r>
      <w:r w:rsidR="005E1F4B">
        <w:t xml:space="preserve"> 2019</w:t>
      </w:r>
      <w:r w:rsidR="005E1F4B">
        <w:tab/>
      </w:r>
    </w:p>
    <w:p w14:paraId="37278172" w14:textId="77777777" w:rsidR="005E1F4B" w:rsidRDefault="005E1F4B" w:rsidP="009026AE">
      <w:pPr>
        <w:pStyle w:val="3GPPHeader"/>
        <w:snapToGrid w:val="0"/>
      </w:pPr>
      <w:r>
        <w:tab/>
      </w:r>
    </w:p>
    <w:p w14:paraId="019DC5F7" w14:textId="008554EE" w:rsidR="005E1F4B" w:rsidRDefault="005E1F4B" w:rsidP="009026AE">
      <w:pPr>
        <w:pStyle w:val="3GPPHeader"/>
        <w:snapToGrid w:val="0"/>
      </w:pPr>
      <w:r>
        <w:t xml:space="preserve">Source: </w:t>
      </w:r>
      <w:r>
        <w:tab/>
      </w:r>
      <w:r w:rsidR="00140D47" w:rsidRPr="00CB4CD7">
        <w:t>Asia Pacific Telecom</w:t>
      </w:r>
    </w:p>
    <w:p w14:paraId="1CC03627" w14:textId="001EB8F8" w:rsidR="005E1F4B" w:rsidRDefault="005E1F4B" w:rsidP="009026AE">
      <w:pPr>
        <w:pStyle w:val="3GPPHeader"/>
        <w:snapToGrid w:val="0"/>
      </w:pPr>
      <w:r>
        <w:t xml:space="preserve">Title: </w:t>
      </w:r>
      <w:r>
        <w:tab/>
      </w:r>
      <w:r w:rsidR="002920E4" w:rsidRPr="002920E4">
        <w:t>Discussion on physical layer control procedures for NTN</w:t>
      </w:r>
    </w:p>
    <w:p w14:paraId="14EA2A19" w14:textId="0B14C718" w:rsidR="005E1F4B" w:rsidRDefault="005E1F4B" w:rsidP="009026AE">
      <w:pPr>
        <w:pStyle w:val="3GPPHeader"/>
        <w:snapToGrid w:val="0"/>
      </w:pPr>
      <w:r>
        <w:t>Agenda item:</w:t>
      </w:r>
      <w:r>
        <w:tab/>
      </w:r>
      <w:r w:rsidR="00A558B4">
        <w:t>7.2.</w:t>
      </w:r>
      <w:r w:rsidR="008D0926">
        <w:t>5</w:t>
      </w:r>
      <w:r w:rsidR="00A558B4">
        <w:t>.</w:t>
      </w:r>
      <w:r w:rsidR="00644835">
        <w:t>2</w:t>
      </w:r>
    </w:p>
    <w:p w14:paraId="765DBB56" w14:textId="77777777" w:rsidR="005E1F4B" w:rsidRDefault="005E1F4B" w:rsidP="009026AE">
      <w:pPr>
        <w:pStyle w:val="3GPPHeader"/>
        <w:snapToGrid w:val="0"/>
      </w:pPr>
      <w:r>
        <w:t>Document for:</w:t>
      </w:r>
      <w:r>
        <w:tab/>
        <w:t>Discussion and Decision</w:t>
      </w:r>
    </w:p>
    <w:p w14:paraId="04E8C7EC" w14:textId="77777777" w:rsidR="005E1F4B" w:rsidRPr="00CF2030" w:rsidRDefault="005E1F4B" w:rsidP="00644835">
      <w:pPr>
        <w:pStyle w:val="Heading1"/>
        <w:snapToGrid w:val="0"/>
        <w:jc w:val="both"/>
      </w:pPr>
      <w:r>
        <w:t>Introduction</w:t>
      </w:r>
    </w:p>
    <w:p w14:paraId="714A535E" w14:textId="5438347C" w:rsidR="005E1F4B" w:rsidRPr="00644835" w:rsidRDefault="00092C12">
      <w:pPr>
        <w:snapToGrid w:val="0"/>
        <w:rPr>
          <w:szCs w:val="22"/>
        </w:rPr>
      </w:pPr>
      <w:r w:rsidRPr="00644835">
        <w:rPr>
          <w:szCs w:val="22"/>
        </w:rPr>
        <w:t xml:space="preserve">In </w:t>
      </w:r>
      <w:r w:rsidR="00644835" w:rsidRPr="00644835">
        <w:rPr>
          <w:szCs w:val="22"/>
        </w:rPr>
        <w:t>previous meetings</w:t>
      </w:r>
      <w:r w:rsidRPr="00644835">
        <w:rPr>
          <w:szCs w:val="22"/>
        </w:rPr>
        <w:t xml:space="preserve">, </w:t>
      </w:r>
      <w:r w:rsidR="00F176E3">
        <w:rPr>
          <w:szCs w:val="22"/>
        </w:rPr>
        <w:t xml:space="preserve">the following </w:t>
      </w:r>
      <w:r w:rsidRPr="00644835">
        <w:rPr>
          <w:szCs w:val="22"/>
        </w:rPr>
        <w:t xml:space="preserve">agreements </w:t>
      </w:r>
      <w:r w:rsidR="00F176E3">
        <w:rPr>
          <w:szCs w:val="22"/>
        </w:rPr>
        <w:t>have been made</w:t>
      </w:r>
      <w:r w:rsidR="00644835" w:rsidRPr="00644835">
        <w:rPr>
          <w:szCs w:val="22"/>
        </w:rPr>
        <w:t>:</w:t>
      </w:r>
    </w:p>
    <w:tbl>
      <w:tblPr>
        <w:tblStyle w:val="TableGrid"/>
        <w:tblW w:w="0" w:type="auto"/>
        <w:tblLook w:val="04A0" w:firstRow="1" w:lastRow="0" w:firstColumn="1" w:lastColumn="0" w:noHBand="0" w:noVBand="1"/>
      </w:tblPr>
      <w:tblGrid>
        <w:gridCol w:w="9350"/>
      </w:tblGrid>
      <w:tr w:rsidR="005E1F4B" w:rsidRPr="00644835" w14:paraId="170F1A72" w14:textId="77777777" w:rsidTr="00E426A3">
        <w:tc>
          <w:tcPr>
            <w:tcW w:w="0" w:type="auto"/>
            <w:shd w:val="clear" w:color="auto" w:fill="auto"/>
          </w:tcPr>
          <w:p w14:paraId="36CCA796" w14:textId="6CD5714D" w:rsidR="002A1A42" w:rsidRDefault="002A1A42" w:rsidP="002A1A42">
            <w:bookmarkStart w:id="1" w:name="OLE_LINK94"/>
            <w:r w:rsidRPr="002A1A42">
              <w:rPr>
                <w:b/>
                <w:highlight w:val="green"/>
              </w:rPr>
              <w:t>Agreement</w:t>
            </w:r>
            <w:r>
              <w:t xml:space="preserve"> in RAN1#97</w:t>
            </w:r>
          </w:p>
          <w:bookmarkEnd w:id="1"/>
          <w:p w14:paraId="6AA38AE0" w14:textId="77777777" w:rsidR="002920E4" w:rsidRDefault="002920E4" w:rsidP="002920E4">
            <w:r>
              <w:t>Study the performance of AMC in NTN considering at least the following solutions (some solutions may have no specification impact):</w:t>
            </w:r>
          </w:p>
          <w:p w14:paraId="1F13917D" w14:textId="77777777" w:rsidR="002920E4" w:rsidRDefault="002920E4" w:rsidP="0015785E">
            <w:pPr>
              <w:pStyle w:val="ListParagraph"/>
              <w:numPr>
                <w:ilvl w:val="0"/>
                <w:numId w:val="5"/>
              </w:numPr>
            </w:pPr>
            <w:r>
              <w:t>Prediction-based link adaptation with prediction confidence level</w:t>
            </w:r>
          </w:p>
          <w:p w14:paraId="4CC12148" w14:textId="77777777" w:rsidR="002920E4" w:rsidRDefault="002920E4" w:rsidP="0015785E">
            <w:pPr>
              <w:pStyle w:val="ListParagraph"/>
              <w:numPr>
                <w:ilvl w:val="0"/>
                <w:numId w:val="5"/>
              </w:numPr>
            </w:pPr>
            <w:r>
              <w:t>AMC with CQI reflecting only long-term fading</w:t>
            </w:r>
          </w:p>
          <w:p w14:paraId="28269BD4" w14:textId="77777777" w:rsidR="002920E4" w:rsidRDefault="002920E4" w:rsidP="0015785E">
            <w:pPr>
              <w:pStyle w:val="ListParagraph"/>
              <w:numPr>
                <w:ilvl w:val="0"/>
                <w:numId w:val="5"/>
              </w:numPr>
            </w:pPr>
            <w:r>
              <w:t>Additional BLER targets for CQI reporting to limit number of retransmissions and latency</w:t>
            </w:r>
          </w:p>
          <w:p w14:paraId="6C34D13B" w14:textId="77777777" w:rsidR="002920E4" w:rsidRDefault="002920E4" w:rsidP="0015785E">
            <w:pPr>
              <w:pStyle w:val="ListParagraph"/>
              <w:numPr>
                <w:ilvl w:val="0"/>
                <w:numId w:val="5"/>
              </w:numPr>
            </w:pPr>
            <w:r>
              <w:t>CQI offset applied by gNB</w:t>
            </w:r>
          </w:p>
          <w:p w14:paraId="414BADA2" w14:textId="77777777" w:rsidR="002920E4" w:rsidRDefault="002920E4" w:rsidP="0015785E">
            <w:pPr>
              <w:pStyle w:val="ListParagraph"/>
              <w:numPr>
                <w:ilvl w:val="0"/>
                <w:numId w:val="5"/>
              </w:numPr>
            </w:pPr>
            <w:r>
              <w:t>Finer granularity of CQI</w:t>
            </w:r>
          </w:p>
          <w:p w14:paraId="3D73F2E6" w14:textId="77777777" w:rsidR="001D542D" w:rsidRDefault="002920E4" w:rsidP="0015785E">
            <w:pPr>
              <w:pStyle w:val="ListParagraph"/>
              <w:numPr>
                <w:ilvl w:val="0"/>
                <w:numId w:val="5"/>
              </w:numPr>
            </w:pPr>
            <w:r>
              <w:t>Prediction based CQI reporting</w:t>
            </w:r>
          </w:p>
          <w:p w14:paraId="1D9557A1" w14:textId="77777777" w:rsidR="006A0741" w:rsidRDefault="006A0741" w:rsidP="006A0741">
            <w:r w:rsidRPr="002A1A42">
              <w:rPr>
                <w:b/>
                <w:highlight w:val="green"/>
              </w:rPr>
              <w:t>Agreement</w:t>
            </w:r>
            <w:r>
              <w:t xml:space="preserve"> in RAN1#97</w:t>
            </w:r>
          </w:p>
          <w:p w14:paraId="4FE1E3B6" w14:textId="77777777" w:rsidR="006A0741" w:rsidRDefault="006A0741" w:rsidP="006A0741">
            <w:r>
              <w:t xml:space="preserve">Network disabling of HARQ via RRC configuration should be supported. </w:t>
            </w:r>
          </w:p>
          <w:p w14:paraId="2689FF2D" w14:textId="54B9BBE2" w:rsidR="006A0741" w:rsidRPr="00B10DAE" w:rsidRDefault="006A0741" w:rsidP="0015785E">
            <w:pPr>
              <w:pStyle w:val="ListParagraph"/>
              <w:numPr>
                <w:ilvl w:val="0"/>
                <w:numId w:val="6"/>
              </w:numPr>
            </w:pPr>
            <w:r>
              <w:t>FFS: Dynamic disabling of HARQ by gNB.</w:t>
            </w:r>
          </w:p>
        </w:tc>
      </w:tr>
    </w:tbl>
    <w:p w14:paraId="39764AA0" w14:textId="1026EE90" w:rsidR="00C92BFE" w:rsidRPr="00A1623E" w:rsidRDefault="00897341" w:rsidP="00A1623E">
      <w:pPr>
        <w:spacing w:before="120"/>
        <w:rPr>
          <w:szCs w:val="22"/>
        </w:rPr>
      </w:pPr>
      <w:r w:rsidRPr="00A1623E">
        <w:rPr>
          <w:szCs w:val="22"/>
        </w:rPr>
        <w:t xml:space="preserve">In this </w:t>
      </w:r>
      <w:r w:rsidR="00A06780" w:rsidRPr="00A1623E">
        <w:rPr>
          <w:szCs w:val="22"/>
        </w:rPr>
        <w:t>contribution</w:t>
      </w:r>
      <w:r w:rsidRPr="00A1623E">
        <w:rPr>
          <w:szCs w:val="22"/>
        </w:rPr>
        <w:t xml:space="preserve">, we address </w:t>
      </w:r>
      <w:r w:rsidR="00A06780" w:rsidRPr="00A1623E">
        <w:rPr>
          <w:szCs w:val="22"/>
        </w:rPr>
        <w:t xml:space="preserve">issues </w:t>
      </w:r>
      <w:r w:rsidR="00A1623E">
        <w:t>for</w:t>
      </w:r>
      <w:r w:rsidRPr="00A1623E">
        <w:rPr>
          <w:szCs w:val="22"/>
        </w:rPr>
        <w:t xml:space="preserve"> </w:t>
      </w:r>
      <w:bookmarkStart w:id="2" w:name="OLE_LINK32"/>
      <w:bookmarkStart w:id="3" w:name="OLE_LINK33"/>
      <w:r w:rsidR="00A1623E" w:rsidRPr="00A1623E">
        <w:rPr>
          <w:szCs w:val="22"/>
        </w:rPr>
        <w:t xml:space="preserve">NTN scenario </w:t>
      </w:r>
      <w:r w:rsidR="006A0741">
        <w:rPr>
          <w:szCs w:val="22"/>
        </w:rPr>
        <w:t xml:space="preserve">D2 </w:t>
      </w:r>
      <w:r w:rsidR="006A0741" w:rsidRPr="00E76AF6">
        <w:t xml:space="preserve">(LEO </w:t>
      </w:r>
      <w:r w:rsidR="006A0741">
        <w:t>–</w:t>
      </w:r>
      <w:r w:rsidR="006A0741" w:rsidRPr="00E76AF6">
        <w:t xml:space="preserve"> regenerative - moving beams)</w:t>
      </w:r>
      <w:r w:rsidR="006A0741">
        <w:t xml:space="preserve"> and C</w:t>
      </w:r>
      <w:r w:rsidR="00A1623E" w:rsidRPr="00E76AF6">
        <w:t xml:space="preserve">2 (LEO - </w:t>
      </w:r>
      <w:r w:rsidR="006A0741">
        <w:t>transparent</w:t>
      </w:r>
      <w:r w:rsidR="00A1623E" w:rsidRPr="00E76AF6">
        <w:t xml:space="preserve"> - moving beams)</w:t>
      </w:r>
      <w:r w:rsidR="008D2612">
        <w:t xml:space="preserve">, </w:t>
      </w:r>
      <w:bookmarkEnd w:id="2"/>
      <w:bookmarkEnd w:id="3"/>
      <w:r w:rsidR="008D2612">
        <w:t>with a special interest on</w:t>
      </w:r>
    </w:p>
    <w:p w14:paraId="0A86EA89" w14:textId="3A495A8F" w:rsidR="006A0741" w:rsidRDefault="006A0741" w:rsidP="006A0741">
      <w:pPr>
        <w:pStyle w:val="ListParagraph"/>
        <w:numPr>
          <w:ilvl w:val="0"/>
          <w:numId w:val="2"/>
        </w:numPr>
      </w:pPr>
      <w:r w:rsidRPr="006A0741">
        <w:t>AMC/CSI feedback</w:t>
      </w:r>
    </w:p>
    <w:p w14:paraId="1841B69F" w14:textId="048FCA7D" w:rsidR="006A0741" w:rsidRDefault="006A0741" w:rsidP="006A0741">
      <w:pPr>
        <w:pStyle w:val="ListParagraph"/>
        <w:numPr>
          <w:ilvl w:val="0"/>
          <w:numId w:val="2"/>
        </w:numPr>
      </w:pPr>
      <w:r w:rsidRPr="006A0741">
        <w:t>Satellite Beam switching</w:t>
      </w:r>
    </w:p>
    <w:p w14:paraId="0A19B358" w14:textId="1A1C094E" w:rsidR="00B06705" w:rsidRDefault="00B06705" w:rsidP="00644835">
      <w:pPr>
        <w:pStyle w:val="Heading1"/>
        <w:snapToGrid w:val="0"/>
        <w:jc w:val="both"/>
      </w:pPr>
      <w:r>
        <w:t>Discussion</w:t>
      </w:r>
    </w:p>
    <w:p w14:paraId="25C1A744" w14:textId="52C10879" w:rsidR="006A0741" w:rsidRDefault="006A0741" w:rsidP="006A0741">
      <w:pPr>
        <w:pStyle w:val="Heading2"/>
      </w:pPr>
      <w:bookmarkStart w:id="4" w:name="_Hlk16683491"/>
      <w:r w:rsidRPr="006A0741">
        <w:t>AMC/CSI feedback</w:t>
      </w:r>
    </w:p>
    <w:p w14:paraId="0856345B" w14:textId="31938BFF" w:rsidR="00606E76" w:rsidRDefault="00606E76" w:rsidP="00606E76">
      <w:pPr>
        <w:rPr>
          <w:szCs w:val="22"/>
        </w:rPr>
      </w:pPr>
      <w:r w:rsidRPr="00F83858">
        <w:rPr>
          <w:szCs w:val="22"/>
        </w:rPr>
        <w:t>In RAN1#97,</w:t>
      </w:r>
      <w:r>
        <w:rPr>
          <w:szCs w:val="22"/>
        </w:rPr>
        <w:t xml:space="preserve"> </w:t>
      </w:r>
      <w:r w:rsidRPr="00606E76">
        <w:rPr>
          <w:szCs w:val="22"/>
        </w:rPr>
        <w:t xml:space="preserve">the proposals related to </w:t>
      </w:r>
      <w:r>
        <w:rPr>
          <w:szCs w:val="22"/>
        </w:rPr>
        <w:t>AMC</w:t>
      </w:r>
      <w:r w:rsidRPr="00606E76">
        <w:rPr>
          <w:szCs w:val="22"/>
        </w:rPr>
        <w:t xml:space="preserve"> are given in the </w:t>
      </w:r>
      <w:r w:rsidR="00556F33">
        <w:rPr>
          <w:szCs w:val="22"/>
        </w:rPr>
        <w:t xml:space="preserve">following </w:t>
      </w:r>
      <w:r w:rsidRPr="00606E76">
        <w:rPr>
          <w:szCs w:val="22"/>
        </w:rPr>
        <w:t>list.</w:t>
      </w:r>
    </w:p>
    <w:p w14:paraId="245FFA84" w14:textId="5847766B" w:rsidR="00606E76" w:rsidRDefault="00556F33" w:rsidP="0015785E">
      <w:pPr>
        <w:pStyle w:val="ListParagraph"/>
        <w:numPr>
          <w:ilvl w:val="0"/>
          <w:numId w:val="7"/>
        </w:numPr>
      </w:pPr>
      <w:r>
        <w:t>Huawei and Intel propose to study of prediction-based link adaptation.</w:t>
      </w:r>
    </w:p>
    <w:p w14:paraId="19D44512" w14:textId="77777777" w:rsidR="00556F33" w:rsidRDefault="00556F33" w:rsidP="0015785E">
      <w:pPr>
        <w:pStyle w:val="ListParagraph"/>
        <w:numPr>
          <w:ilvl w:val="0"/>
          <w:numId w:val="7"/>
        </w:numPr>
      </w:pPr>
      <w:r>
        <w:t>CATT, ZTE and Qualcomm propose to consider other BLER targets for CQI reporting in order to limit number of retransmissions and thereby latency.</w:t>
      </w:r>
    </w:p>
    <w:p w14:paraId="3462A53B" w14:textId="706DAFBE" w:rsidR="00556F33" w:rsidRDefault="00556F33" w:rsidP="0015785E">
      <w:pPr>
        <w:pStyle w:val="ListParagraph"/>
        <w:numPr>
          <w:ilvl w:val="0"/>
          <w:numId w:val="7"/>
        </w:numPr>
      </w:pPr>
      <w:r>
        <w:t>Panasonic and Qualcomm propose to consider finer granularity of CQI to allow more accurate choice of MCS on a stable LoS channel.</w:t>
      </w:r>
    </w:p>
    <w:p w14:paraId="3AFC0782" w14:textId="267C3B61" w:rsidR="00556F33" w:rsidRDefault="00556F33" w:rsidP="0015785E">
      <w:pPr>
        <w:pStyle w:val="ListParagraph"/>
        <w:numPr>
          <w:ilvl w:val="0"/>
          <w:numId w:val="7"/>
        </w:numPr>
      </w:pPr>
      <w:r>
        <w:t>MTK and Nokia propose to study whether the existing CSI measurement/reporting mechanism in NR needs to be enhanced for NTN.</w:t>
      </w:r>
    </w:p>
    <w:p w14:paraId="06FEB097" w14:textId="1E061CE2" w:rsidR="00556F33" w:rsidRDefault="00556F33" w:rsidP="0015785E">
      <w:pPr>
        <w:pStyle w:val="ListParagraph"/>
        <w:numPr>
          <w:ilvl w:val="0"/>
          <w:numId w:val="7"/>
        </w:numPr>
      </w:pPr>
      <w:r>
        <w:t xml:space="preserve">ZTE and Samsung propose a CQI offset </w:t>
      </w:r>
      <w:r w:rsidRPr="00556F33">
        <w:t>by the gNB</w:t>
      </w:r>
      <w:r>
        <w:t>.</w:t>
      </w:r>
    </w:p>
    <w:p w14:paraId="56F409DC" w14:textId="739C2026" w:rsidR="00556F33" w:rsidRDefault="00556F33" w:rsidP="00556F33">
      <w:pPr>
        <w:pStyle w:val="BodyText"/>
        <w:rPr>
          <w:sz w:val="22"/>
          <w:szCs w:val="22"/>
        </w:rPr>
      </w:pPr>
      <w:r w:rsidRPr="00F83858">
        <w:rPr>
          <w:sz w:val="22"/>
          <w:szCs w:val="22"/>
        </w:rPr>
        <w:t xml:space="preserve">The following offline proposal </w:t>
      </w:r>
      <w:r>
        <w:rPr>
          <w:sz w:val="22"/>
          <w:szCs w:val="22"/>
        </w:rPr>
        <w:t>was made</w:t>
      </w:r>
      <w:r w:rsidRPr="00F83858">
        <w:rPr>
          <w:sz w:val="22"/>
          <w:szCs w:val="22"/>
        </w:rPr>
        <w:t xml:space="preserve"> in the feature lead summary</w:t>
      </w:r>
      <w:r>
        <w:rPr>
          <w:sz w:val="22"/>
          <w:szCs w:val="22"/>
        </w:rPr>
        <w:t xml:space="preserve"> </w:t>
      </w:r>
      <w:r>
        <w:rPr>
          <w:sz w:val="22"/>
          <w:szCs w:val="22"/>
        </w:rPr>
        <w:fldChar w:fldCharType="begin"/>
      </w:r>
      <w:r>
        <w:rPr>
          <w:sz w:val="22"/>
          <w:szCs w:val="22"/>
        </w:rPr>
        <w:instrText xml:space="preserve"> REF _Ref9582611 \r \h </w:instrText>
      </w:r>
      <w:r>
        <w:rPr>
          <w:sz w:val="22"/>
          <w:szCs w:val="22"/>
        </w:rPr>
      </w:r>
      <w:r>
        <w:rPr>
          <w:sz w:val="22"/>
          <w:szCs w:val="22"/>
        </w:rPr>
        <w:fldChar w:fldCharType="separate"/>
      </w:r>
      <w:r>
        <w:rPr>
          <w:sz w:val="22"/>
          <w:szCs w:val="22"/>
        </w:rPr>
        <w:t>[6]</w:t>
      </w:r>
      <w:r>
        <w:rPr>
          <w:sz w:val="22"/>
          <w:szCs w:val="22"/>
        </w:rPr>
        <w:fldChar w:fldCharType="end"/>
      </w:r>
      <w:r w:rsidRPr="00F83858">
        <w:rPr>
          <w:sz w:val="22"/>
          <w:szCs w:val="22"/>
        </w:rPr>
        <w:t>.</w:t>
      </w:r>
    </w:p>
    <w:tbl>
      <w:tblPr>
        <w:tblStyle w:val="TableGrid"/>
        <w:tblW w:w="0" w:type="auto"/>
        <w:tblLook w:val="04A0" w:firstRow="1" w:lastRow="0" w:firstColumn="1" w:lastColumn="0" w:noHBand="0" w:noVBand="1"/>
      </w:tblPr>
      <w:tblGrid>
        <w:gridCol w:w="9350"/>
      </w:tblGrid>
      <w:tr w:rsidR="00556F33" w14:paraId="46C9313A" w14:textId="77777777" w:rsidTr="00556F33">
        <w:tc>
          <w:tcPr>
            <w:tcW w:w="9350" w:type="dxa"/>
          </w:tcPr>
          <w:p w14:paraId="06533BF7" w14:textId="77777777" w:rsidR="00556F33" w:rsidRDefault="00556F33" w:rsidP="00556F33">
            <w:pPr>
              <w:pStyle w:val="BodyText"/>
              <w:rPr>
                <w:sz w:val="22"/>
                <w:szCs w:val="22"/>
              </w:rPr>
            </w:pPr>
            <w:r>
              <w:rPr>
                <w:b/>
                <w:sz w:val="22"/>
                <w:szCs w:val="22"/>
              </w:rPr>
              <w:lastRenderedPageBreak/>
              <w:t xml:space="preserve">Offline </w:t>
            </w:r>
            <w:r w:rsidRPr="00F83858">
              <w:rPr>
                <w:b/>
                <w:sz w:val="22"/>
                <w:szCs w:val="22"/>
              </w:rPr>
              <w:t>Proposal</w:t>
            </w:r>
            <w:r w:rsidRPr="00C25D55">
              <w:rPr>
                <w:sz w:val="22"/>
                <w:szCs w:val="22"/>
              </w:rPr>
              <w:t xml:space="preserve"> in RAN1#97</w:t>
            </w:r>
            <w:r>
              <w:rPr>
                <w:sz w:val="22"/>
                <w:szCs w:val="22"/>
              </w:rPr>
              <w:t xml:space="preserve">: </w:t>
            </w:r>
          </w:p>
          <w:p w14:paraId="5F36723B" w14:textId="1B19FB41" w:rsidR="00556F33" w:rsidRPr="00556F33" w:rsidRDefault="00556F33" w:rsidP="00556F33">
            <w:pPr>
              <w:pStyle w:val="BodyText"/>
              <w:overflowPunct/>
              <w:autoSpaceDE/>
              <w:autoSpaceDN/>
              <w:adjustRightInd/>
              <w:textAlignment w:val="auto"/>
              <w:rPr>
                <w:sz w:val="22"/>
                <w:szCs w:val="22"/>
              </w:rPr>
            </w:pPr>
            <w:r w:rsidRPr="00556F33">
              <w:rPr>
                <w:sz w:val="22"/>
                <w:szCs w:val="22"/>
              </w:rPr>
              <w:t>Whether the CSI measurement/reporting mechanism in NR Rel-15 needs to be enhanced for NTN is for further study.</w:t>
            </w:r>
          </w:p>
        </w:tc>
      </w:tr>
    </w:tbl>
    <w:p w14:paraId="0515A578" w14:textId="00EFBE45" w:rsidR="0060771B" w:rsidRPr="0060771B" w:rsidRDefault="0060771B" w:rsidP="0060771B">
      <w:pPr>
        <w:pStyle w:val="BodyText"/>
        <w:spacing w:before="120"/>
        <w:rPr>
          <w:bCs/>
          <w:sz w:val="22"/>
          <w:szCs w:val="22"/>
        </w:rPr>
      </w:pPr>
      <w:r w:rsidRPr="0060771B">
        <w:rPr>
          <w:bCs/>
          <w:sz w:val="22"/>
          <w:szCs w:val="22"/>
        </w:rPr>
        <w:t xml:space="preserve">In NR, the AMC procedure </w:t>
      </w:r>
      <w:r>
        <w:rPr>
          <w:bCs/>
          <w:sz w:val="22"/>
          <w:szCs w:val="22"/>
        </w:rPr>
        <w:t>include</w:t>
      </w:r>
      <w:r w:rsidR="00CF4BCF">
        <w:rPr>
          <w:bCs/>
          <w:sz w:val="22"/>
          <w:szCs w:val="22"/>
        </w:rPr>
        <w:t>s</w:t>
      </w:r>
      <w:r w:rsidRPr="0060771B">
        <w:rPr>
          <w:bCs/>
          <w:sz w:val="22"/>
          <w:szCs w:val="22"/>
        </w:rPr>
        <w:t xml:space="preserve"> two major parts, channel quality index (CQI) reporting and modulation and coding scheme (MCS) scheduling. For the CQI reporting, if a CSI report is configured, including CSI parameters and a CQI table, UE </w:t>
      </w:r>
      <w:r>
        <w:rPr>
          <w:bCs/>
          <w:sz w:val="22"/>
          <w:szCs w:val="22"/>
        </w:rPr>
        <w:t>shall</w:t>
      </w:r>
      <w:r w:rsidRPr="0060771B">
        <w:rPr>
          <w:bCs/>
          <w:sz w:val="22"/>
          <w:szCs w:val="22"/>
        </w:rPr>
        <w:t xml:space="preserve"> report a CQI index as an MCS recommendation, based on CSI measurement given the configured CSI parameters. For MCS scheduling, UE may be configured an MCS table via an RRC message, and dynamic AMC is achieved by a dynamic DCI from </w:t>
      </w:r>
      <w:r w:rsidR="00CF4BCF">
        <w:rPr>
          <w:bCs/>
          <w:sz w:val="22"/>
          <w:szCs w:val="22"/>
        </w:rPr>
        <w:t xml:space="preserve">the </w:t>
      </w:r>
      <w:r>
        <w:rPr>
          <w:bCs/>
          <w:sz w:val="22"/>
          <w:szCs w:val="22"/>
        </w:rPr>
        <w:t>network (NW)</w:t>
      </w:r>
      <w:r w:rsidRPr="0060771B">
        <w:rPr>
          <w:bCs/>
          <w:sz w:val="22"/>
          <w:szCs w:val="22"/>
        </w:rPr>
        <w:t>.</w:t>
      </w:r>
    </w:p>
    <w:p w14:paraId="6700B68A" w14:textId="18F95C14" w:rsidR="0060771B" w:rsidRDefault="0060771B" w:rsidP="004F1E2B">
      <w:pPr>
        <w:pStyle w:val="BodyText"/>
        <w:spacing w:after="240"/>
        <w:rPr>
          <w:bCs/>
          <w:sz w:val="22"/>
          <w:szCs w:val="22"/>
        </w:rPr>
      </w:pPr>
      <w:r w:rsidRPr="0060771B">
        <w:rPr>
          <w:bCs/>
          <w:sz w:val="22"/>
          <w:szCs w:val="22"/>
        </w:rPr>
        <w:t xml:space="preserve">For example, as shown in </w:t>
      </w:r>
      <w:r w:rsidRPr="0060771B">
        <w:rPr>
          <w:bCs/>
          <w:sz w:val="22"/>
          <w:szCs w:val="22"/>
        </w:rPr>
        <w:fldChar w:fldCharType="begin"/>
      </w:r>
      <w:r w:rsidRPr="0060771B">
        <w:rPr>
          <w:bCs/>
          <w:sz w:val="22"/>
          <w:szCs w:val="22"/>
        </w:rPr>
        <w:instrText xml:space="preserve"> REF _Ref16684794 \h  \* MERGEFORMAT </w:instrText>
      </w:r>
      <w:r w:rsidRPr="0060771B">
        <w:rPr>
          <w:bCs/>
          <w:sz w:val="22"/>
          <w:szCs w:val="22"/>
        </w:rPr>
      </w:r>
      <w:r w:rsidRPr="0060771B">
        <w:rPr>
          <w:bCs/>
          <w:sz w:val="22"/>
          <w:szCs w:val="22"/>
        </w:rPr>
        <w:fldChar w:fldCharType="separate"/>
      </w:r>
      <w:r w:rsidRPr="0060771B">
        <w:rPr>
          <w:sz w:val="22"/>
          <w:szCs w:val="22"/>
        </w:rPr>
        <w:t xml:space="preserve">Figure </w:t>
      </w:r>
      <w:r w:rsidRPr="0060771B">
        <w:rPr>
          <w:noProof/>
          <w:sz w:val="22"/>
          <w:szCs w:val="22"/>
        </w:rPr>
        <w:t>1</w:t>
      </w:r>
      <w:r w:rsidRPr="0060771B">
        <w:rPr>
          <w:bCs/>
          <w:sz w:val="22"/>
          <w:szCs w:val="22"/>
        </w:rPr>
        <w:fldChar w:fldCharType="end"/>
      </w:r>
      <w:r w:rsidRPr="0060771B">
        <w:rPr>
          <w:bCs/>
          <w:sz w:val="22"/>
          <w:szCs w:val="22"/>
        </w:rPr>
        <w:t>, a</w:t>
      </w:r>
      <w:r w:rsidR="00780AAA">
        <w:rPr>
          <w:bCs/>
          <w:sz w:val="22"/>
          <w:szCs w:val="22"/>
        </w:rPr>
        <w:t xml:space="preserve">n </w:t>
      </w:r>
      <w:r w:rsidRPr="0060771B">
        <w:rPr>
          <w:bCs/>
          <w:sz w:val="22"/>
          <w:szCs w:val="22"/>
        </w:rPr>
        <w:t xml:space="preserve">AMC procedure contains several steps denoted by crosses. </w:t>
      </w:r>
    </w:p>
    <w:p w14:paraId="478A4412" w14:textId="3921F6AA" w:rsidR="00556F33" w:rsidRPr="004F1E2B" w:rsidRDefault="00556F33" w:rsidP="0060771B">
      <w:pPr>
        <w:pStyle w:val="BodyText"/>
        <w:jc w:val="center"/>
        <w:rPr>
          <w:rFonts w:eastAsiaTheme="minorEastAsia"/>
          <w:sz w:val="22"/>
          <w:szCs w:val="22"/>
          <w:lang w:val="en-US" w:eastAsia="zh-TW"/>
        </w:rPr>
      </w:pPr>
      <w:r>
        <w:rPr>
          <w:noProof/>
        </w:rPr>
        <w:drawing>
          <wp:inline distT="0" distB="0" distL="0" distR="0" wp14:anchorId="3D1F4B6A" wp14:editId="749D0157">
            <wp:extent cx="4757836" cy="2451100"/>
            <wp:effectExtent l="0" t="0" r="5080" b="6350"/>
            <wp:docPr id="7" name="Picture 7"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2.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73249" cy="2459041"/>
                    </a:xfrm>
                    <a:prstGeom prst="rect">
                      <a:avLst/>
                    </a:prstGeom>
                  </pic:spPr>
                </pic:pic>
              </a:graphicData>
            </a:graphic>
          </wp:inline>
        </w:drawing>
      </w:r>
    </w:p>
    <w:p w14:paraId="31518B52" w14:textId="4EA95560" w:rsidR="00556F33" w:rsidRDefault="0060771B" w:rsidP="004F1E2B">
      <w:pPr>
        <w:pStyle w:val="Caption"/>
        <w:spacing w:after="120"/>
      </w:pPr>
      <w:bookmarkStart w:id="5" w:name="_Ref16684794"/>
      <w:r>
        <w:t xml:space="preserve">Figure </w:t>
      </w:r>
      <w:r>
        <w:fldChar w:fldCharType="begin"/>
      </w:r>
      <w:r>
        <w:instrText xml:space="preserve"> SEQ Figure \* ARABIC </w:instrText>
      </w:r>
      <w:r>
        <w:fldChar w:fldCharType="separate"/>
      </w:r>
      <w:r w:rsidR="00ED7BAA">
        <w:rPr>
          <w:noProof/>
        </w:rPr>
        <w:t>1</w:t>
      </w:r>
      <w:r>
        <w:fldChar w:fldCharType="end"/>
      </w:r>
      <w:bookmarkEnd w:id="5"/>
      <w:r w:rsidR="00556F33">
        <w:t>: an illustration of the NR AMC procedure.</w:t>
      </w:r>
    </w:p>
    <w:p w14:paraId="43AA1F2C" w14:textId="493DEE85" w:rsidR="0060771B" w:rsidRDefault="0060771B" w:rsidP="0015785E">
      <w:pPr>
        <w:pStyle w:val="ListParagraph"/>
        <w:numPr>
          <w:ilvl w:val="0"/>
          <w:numId w:val="8"/>
        </w:numPr>
      </w:pPr>
      <w:r w:rsidRPr="0060771B">
        <w:rPr>
          <w:b/>
          <w:bCs/>
        </w:rPr>
        <w:t>Step #1</w:t>
      </w:r>
      <w:r>
        <w:t xml:space="preserve">: decide a CQI table. </w:t>
      </w:r>
      <w:r w:rsidR="004F1E2B">
        <w:t>NW</w:t>
      </w:r>
      <w:r>
        <w:t xml:space="preserve"> decides a CQI table from the three CQI tables defined in NR specs. These three tables represent MCS suggestions from the UE side, associated with different spectral efficiency requirements and BLER targets. The CQI table is configured via an RRC message to a UE.</w:t>
      </w:r>
    </w:p>
    <w:p w14:paraId="707AC082" w14:textId="613038E6" w:rsidR="0060771B" w:rsidRDefault="0060771B" w:rsidP="0015785E">
      <w:pPr>
        <w:pStyle w:val="ListParagraph"/>
        <w:numPr>
          <w:ilvl w:val="0"/>
          <w:numId w:val="8"/>
        </w:numPr>
      </w:pPr>
      <w:r w:rsidRPr="0060771B">
        <w:rPr>
          <w:b/>
          <w:bCs/>
        </w:rPr>
        <w:t>Step #2</w:t>
      </w:r>
      <w:r>
        <w:t xml:space="preserve">: compute CQI. The UE computes CQI based on the configured CQI table. The CQI table is associated with a single BLER target. UE selects the highest CQI index with a transport block error probability not exceeding to the BLER. The resulted CQI is reported via PUCCH or PUSCH. </w:t>
      </w:r>
    </w:p>
    <w:p w14:paraId="30384027" w14:textId="306A581A" w:rsidR="0060771B" w:rsidRDefault="0060771B" w:rsidP="0015785E">
      <w:pPr>
        <w:pStyle w:val="ListParagraph"/>
        <w:numPr>
          <w:ilvl w:val="0"/>
          <w:numId w:val="8"/>
        </w:numPr>
      </w:pPr>
      <w:r w:rsidRPr="0060771B">
        <w:rPr>
          <w:b/>
          <w:bCs/>
        </w:rPr>
        <w:t>Step #3</w:t>
      </w:r>
      <w:r>
        <w:t xml:space="preserve">: </w:t>
      </w:r>
      <w:r w:rsidR="00CF4BCF">
        <w:t>select</w:t>
      </w:r>
      <w:r>
        <w:t xml:space="preserve"> an MCS table. </w:t>
      </w:r>
      <w:r w:rsidR="004F1E2B">
        <w:t>NW</w:t>
      </w:r>
      <w:r>
        <w:t xml:space="preserve"> decides one of the three MCS tables defined in NR specs, e.g., Rel-15/16 to schedule a PDSCH, based on the received CQI report. The decided MCS table is used to configure the UE via an RRC message via a PDSCH.</w:t>
      </w:r>
    </w:p>
    <w:p w14:paraId="7901D4A2" w14:textId="2528BF4F" w:rsidR="0060771B" w:rsidRDefault="0060771B" w:rsidP="0015785E">
      <w:pPr>
        <w:pStyle w:val="ListParagraph"/>
        <w:numPr>
          <w:ilvl w:val="0"/>
          <w:numId w:val="8"/>
        </w:numPr>
      </w:pPr>
      <w:r w:rsidRPr="0060771B">
        <w:rPr>
          <w:b/>
          <w:bCs/>
        </w:rPr>
        <w:t>Step #4</w:t>
      </w:r>
      <w:r>
        <w:t xml:space="preserve">: decide an MCS. </w:t>
      </w:r>
      <w:r w:rsidR="004F1E2B">
        <w:t>NW</w:t>
      </w:r>
      <w:r>
        <w:t xml:space="preserve"> decides an MCS index from the configured MCS table. The decided MCS index is signalled to the UE via a PDCCH with a DCI associated with the scheduled PDSCH.</w:t>
      </w:r>
    </w:p>
    <w:p w14:paraId="56473B18" w14:textId="705B4A95" w:rsidR="0060771B" w:rsidRDefault="0060771B" w:rsidP="0015785E">
      <w:pPr>
        <w:pStyle w:val="ListParagraph"/>
        <w:numPr>
          <w:ilvl w:val="0"/>
          <w:numId w:val="8"/>
        </w:numPr>
      </w:pPr>
      <w:r w:rsidRPr="0060771B">
        <w:rPr>
          <w:b/>
          <w:bCs/>
        </w:rPr>
        <w:t>Step #5</w:t>
      </w:r>
      <w:r>
        <w:t>: determine an MCS. The UE determines an MCS based on the received MCS index and the configured MCS table. This MCS information is used for decoding and demodulating data from the scheduled PDSCH.</w:t>
      </w:r>
    </w:p>
    <w:p w14:paraId="6E233DC1" w14:textId="4841DA36" w:rsidR="00606E76" w:rsidRDefault="0060771B" w:rsidP="0060771B">
      <w:r>
        <w:t>To accommodate NTN, long round t</w:t>
      </w:r>
      <w:r w:rsidR="00CF4BCF">
        <w:t>r</w:t>
      </w:r>
      <w:r>
        <w:t xml:space="preserve">ip time (RTT) and lower BLER target become challenging to reuse the NR AMC without some adjustments. Particularly, the feature of disabling HARQ </w:t>
      </w:r>
      <w:r w:rsidR="00904FB9">
        <w:t xml:space="preserve">feedback </w:t>
      </w:r>
      <w:r>
        <w:t xml:space="preserve">for long RTT delays may require a more robust and dynamic AMC control. For example, if HARQ </w:t>
      </w:r>
      <w:r w:rsidR="00904FB9">
        <w:t xml:space="preserve">feedback </w:t>
      </w:r>
      <w:r>
        <w:t xml:space="preserve">is disabled, the BLER target should be improved firstly to guarantee the reliability of the first transmission. Lower MCS </w:t>
      </w:r>
      <w:r>
        <w:lastRenderedPageBreak/>
        <w:t xml:space="preserve">and </w:t>
      </w:r>
      <w:r w:rsidR="00CF4BCF">
        <w:t xml:space="preserve">an </w:t>
      </w:r>
      <w:r>
        <w:t xml:space="preserve">MCS table </w:t>
      </w:r>
      <w:r w:rsidR="00CF4BCF">
        <w:t>associated with</w:t>
      </w:r>
      <w:r>
        <w:t xml:space="preserve"> </w:t>
      </w:r>
      <w:r w:rsidR="00CF4BCF">
        <w:t xml:space="preserve">a </w:t>
      </w:r>
      <w:r>
        <w:t xml:space="preserve">lower target BLER </w:t>
      </w:r>
      <w:r w:rsidR="00CF4BCF">
        <w:t>may be</w:t>
      </w:r>
      <w:r>
        <w:t xml:space="preserve"> needed when HARQ </w:t>
      </w:r>
      <w:r w:rsidR="004F1E2B">
        <w:t xml:space="preserve">feedback </w:t>
      </w:r>
      <w:r>
        <w:t>switches off for requirements in NTN scenarios.</w:t>
      </w:r>
    </w:p>
    <w:p w14:paraId="575C1BED" w14:textId="3421BB55" w:rsidR="004F1E2B" w:rsidRDefault="00780AAA" w:rsidP="00F8564D">
      <w:pPr>
        <w:pStyle w:val="Observation"/>
      </w:pPr>
      <w:bookmarkStart w:id="6" w:name="_Toc16695263"/>
      <w:r>
        <w:t>T</w:t>
      </w:r>
      <w:r w:rsidRPr="00780AAA">
        <w:t>he CSI measurement/reporting in NR Rel-15 needs to be enhanced for NTN</w:t>
      </w:r>
      <w:r>
        <w:t>.</w:t>
      </w:r>
      <w:bookmarkEnd w:id="6"/>
    </w:p>
    <w:p w14:paraId="74372A2B" w14:textId="6879E63F" w:rsidR="00780AAA" w:rsidRDefault="00780AAA" w:rsidP="00780AAA">
      <w:r w:rsidRPr="00780AAA">
        <w:t xml:space="preserve">As mentioned, some adjustments are needed for the NR AMC to accommodate different NTN scenarios. </w:t>
      </w:r>
      <w:r>
        <w:t>On top of long RTT</w:t>
      </w:r>
      <w:r w:rsidRPr="00780AAA">
        <w:t>, the following issues are identified and described in more details.</w:t>
      </w:r>
      <w:r>
        <w:t xml:space="preserve"> </w:t>
      </w:r>
    </w:p>
    <w:p w14:paraId="3981D1FC" w14:textId="7CA4EF51" w:rsidR="00780AAA" w:rsidRDefault="00D972CE" w:rsidP="00780AAA">
      <w:pPr>
        <w:pStyle w:val="Heading3"/>
      </w:pPr>
      <w:r>
        <w:t>C</w:t>
      </w:r>
      <w:r w:rsidR="00780AAA" w:rsidRPr="00780AAA">
        <w:t>onfigurable BLER for a CQI report</w:t>
      </w:r>
    </w:p>
    <w:p w14:paraId="5A7D7892" w14:textId="215D3451" w:rsidR="00780AAA" w:rsidRDefault="00780AAA" w:rsidP="00780AAA">
      <w:r w:rsidRPr="00780AAA">
        <w:t>When computing CQI in NR, a BLER target is given by a configured CQI table. For example, if one of the eMBB tables is configured, and the BLER target is set to 10</w:t>
      </w:r>
      <w:r w:rsidRPr="00780AAA">
        <w:rPr>
          <w:vertAlign w:val="superscript"/>
        </w:rPr>
        <w:t>-1</w:t>
      </w:r>
      <w:r w:rsidRPr="00780AAA">
        <w:t xml:space="preserve"> for UE to select the highest CQI index with a BLER not exceeding to the target. Otherwise</w:t>
      </w:r>
      <w:r w:rsidR="00CF4BCF">
        <w:t>,</w:t>
      </w:r>
      <w:r w:rsidRPr="00780AAA">
        <w:t xml:space="preserve"> when the URLLC table is configured, the BLER target is set to be 10</w:t>
      </w:r>
      <w:r w:rsidRPr="00780AAA">
        <w:rPr>
          <w:vertAlign w:val="superscript"/>
        </w:rPr>
        <w:t>-5</w:t>
      </w:r>
      <w:r w:rsidRPr="00780AAA">
        <w:t xml:space="preserve"> for CQI selection. In NR, the value of BLER target is fixed for each of a configured CQI table. This one-to-one mapping may save additional signalling to select BLERs.</w:t>
      </w:r>
    </w:p>
    <w:p w14:paraId="2A633D59" w14:textId="62393DBE" w:rsidR="00D972CE" w:rsidRDefault="000C6B85" w:rsidP="00F8564D">
      <w:pPr>
        <w:pStyle w:val="Observation"/>
      </w:pPr>
      <w:bookmarkStart w:id="7" w:name="_Toc16695264"/>
      <w:r>
        <w:t>In</w:t>
      </w:r>
      <w:r w:rsidR="00D972CE">
        <w:t xml:space="preserve"> </w:t>
      </w:r>
      <w:r w:rsidR="00D972CE" w:rsidRPr="00D972CE">
        <w:t xml:space="preserve">NR, BLER target </w:t>
      </w:r>
      <w:r w:rsidR="00C7798F">
        <w:t>is not configurable and is associated with a COI table</w:t>
      </w:r>
      <w:r w:rsidR="00D972CE" w:rsidRPr="00D972CE">
        <w:t>.</w:t>
      </w:r>
      <w:bookmarkEnd w:id="7"/>
    </w:p>
    <w:p w14:paraId="7469309B" w14:textId="0FACD415" w:rsidR="00780AAA" w:rsidRDefault="00780AAA" w:rsidP="00780AAA">
      <w:r w:rsidRPr="00780AAA">
        <w:t xml:space="preserve">However, it is necessary to have </w:t>
      </w:r>
      <w:r w:rsidR="00CF4BCF">
        <w:t xml:space="preserve">a </w:t>
      </w:r>
      <w:r w:rsidRPr="00780AAA">
        <w:t>flexible BLER configuration in NTN because of two reasons. First, a new BLER target is needed if the URLLC table is going to be reused. This is because the original BLER target of 10</w:t>
      </w:r>
      <w:r w:rsidRPr="00D972CE">
        <w:rPr>
          <w:vertAlign w:val="superscript"/>
        </w:rPr>
        <w:t>-5</w:t>
      </w:r>
      <w:r w:rsidRPr="00780AAA">
        <w:t xml:space="preserve"> may be impossible to achieve regarding a very limited link budge in NTN, particularly for uplink. So, at least a higher BLER target, e.g., 10</w:t>
      </w:r>
      <w:r w:rsidRPr="00D972CE">
        <w:rPr>
          <w:vertAlign w:val="superscript"/>
        </w:rPr>
        <w:t>-1</w:t>
      </w:r>
      <w:r w:rsidRPr="00780AAA">
        <w:t xml:space="preserve"> or 10</w:t>
      </w:r>
      <w:r w:rsidRPr="00D972CE">
        <w:rPr>
          <w:vertAlign w:val="superscript"/>
        </w:rPr>
        <w:t>-2</w:t>
      </w:r>
      <w:r w:rsidRPr="00780AAA">
        <w:t xml:space="preserve">, may be able to be configured to a UE, regardless of which CQI table being used. Second, when HARQ </w:t>
      </w:r>
      <w:r w:rsidR="00D972CE">
        <w:t xml:space="preserve">feedback </w:t>
      </w:r>
      <w:r w:rsidRPr="00780AAA">
        <w:t>switches off, a higher BLER target may be needed to guarantee the first transmission. Without configurable BLERs, RRC reconfiguration signalling of another CQI table may be needed, which is time consuming and resource inefficient considering the long RTT.</w:t>
      </w:r>
    </w:p>
    <w:p w14:paraId="04332409" w14:textId="1D57AAE9" w:rsidR="00D972CE" w:rsidRDefault="00D972CE" w:rsidP="00D972CE">
      <w:pPr>
        <w:pStyle w:val="Proposal"/>
      </w:pPr>
      <w:bookmarkStart w:id="8" w:name="_Toc16695258"/>
      <w:r>
        <w:t xml:space="preserve">For </w:t>
      </w:r>
      <w:r w:rsidR="00B02737">
        <w:t>CSI report</w:t>
      </w:r>
      <w:r>
        <w:t>, configurable</w:t>
      </w:r>
      <w:r w:rsidRPr="00780AAA">
        <w:t xml:space="preserve"> BLER</w:t>
      </w:r>
      <w:r>
        <w:t xml:space="preserve"> targets shall be considered.</w:t>
      </w:r>
      <w:bookmarkEnd w:id="8"/>
    </w:p>
    <w:p w14:paraId="342E179C" w14:textId="2279C0DC" w:rsidR="00D972CE" w:rsidRDefault="00D972CE" w:rsidP="00D972CE">
      <w:pPr>
        <w:pStyle w:val="Heading3"/>
      </w:pPr>
      <w:r>
        <w:t>C</w:t>
      </w:r>
      <w:r w:rsidRPr="00D972CE">
        <w:t>onfigurable MCS table for RACH</w:t>
      </w:r>
    </w:p>
    <w:p w14:paraId="530C2039" w14:textId="3A81D03F" w:rsidR="00D972CE" w:rsidRDefault="00D972CE" w:rsidP="00D972CE">
      <w:r>
        <w:t>During the RACH procedure, UE may receive a random-access response (RAR) grant, where a 4-bit MCS index in the RAR grant field is used for determining the MCS of the PUSCH transmission as known as Message 3 (msg3) transmission defined in NR specs. UE may not be configured with any MCS tables before this RACH procedure. In this case, two default MCS tables may be used. Both are designed for eMBB requirements, where one is used if transform precoding is enabled, and the other is used when transforming precoding is disabled.</w:t>
      </w:r>
      <w:r w:rsidR="009C2AD3">
        <w:t xml:space="preserve"> </w:t>
      </w:r>
      <w:r w:rsidR="009C2AD3" w:rsidRPr="009C2AD3">
        <w:t xml:space="preserve">Note that this issue also exists when two-step RACH is used during a message A payload transmission.  </w:t>
      </w:r>
    </w:p>
    <w:p w14:paraId="33E87A00" w14:textId="7450D622" w:rsidR="00D972CE" w:rsidRDefault="00D972CE" w:rsidP="00D972CE">
      <w:r>
        <w:t xml:space="preserve">However, it is good to have </w:t>
      </w:r>
      <w:r w:rsidR="00CF4BCF">
        <w:t xml:space="preserve">an </w:t>
      </w:r>
      <w:r>
        <w:t>adjustment for this default MCS tables, with special concern on a limited link budge for UL channels.</w:t>
      </w:r>
    </w:p>
    <w:p w14:paraId="75CE2DE1" w14:textId="6D3A2B16" w:rsidR="00D972CE" w:rsidRDefault="000C6B85" w:rsidP="009C2AD3">
      <w:pPr>
        <w:pStyle w:val="Proposal"/>
      </w:pPr>
      <w:bookmarkStart w:id="9" w:name="_Toc16695259"/>
      <w:r>
        <w:t>For</w:t>
      </w:r>
      <w:r w:rsidR="009C2AD3">
        <w:t xml:space="preserve"> </w:t>
      </w:r>
      <w:r w:rsidR="00B02737">
        <w:t>RACH</w:t>
      </w:r>
      <w:r w:rsidR="009C2AD3">
        <w:t>, configurable MCS tables shall be considered.</w:t>
      </w:r>
      <w:bookmarkEnd w:id="9"/>
    </w:p>
    <w:p w14:paraId="7A9D43CB" w14:textId="03F42EB9" w:rsidR="009C2AD3" w:rsidRDefault="009C2AD3" w:rsidP="009C2AD3">
      <w:pPr>
        <w:pStyle w:val="Heading3"/>
      </w:pPr>
      <w:r w:rsidRPr="009C2AD3">
        <w:t>Polarization mismatch</w:t>
      </w:r>
    </w:p>
    <w:p w14:paraId="05D53600" w14:textId="531772A6" w:rsidR="001979CF" w:rsidRDefault="009C2AD3" w:rsidP="009C2AD3">
      <w:r>
        <w:t xml:space="preserve">In </w:t>
      </w:r>
      <w:r w:rsidR="00CD458D">
        <w:t xml:space="preserve">Release-15 </w:t>
      </w:r>
      <w:r>
        <w:t>NR, CQI is calculated conditioned on the reported precoding matrix indicator (PMI), rank indicator (RI), and CSI-RS resource indicator (CRI). PMI is calculated based on a precoding codebook defined in NR specs, that selects one or multiple linear precoding matrixes from the precoding codebook to maximize a given performance metric. An antenna port</w:t>
      </w:r>
      <w:r w:rsidR="00C7798F">
        <w:t xml:space="preserve"> defined in the specs</w:t>
      </w:r>
      <w:r>
        <w:t xml:space="preserve"> may be implemented by a single linear polarization antenna element, either vertically or horizontally polarized.</w:t>
      </w:r>
    </w:p>
    <w:p w14:paraId="02BAB4E8" w14:textId="5C33D282" w:rsidR="009C2AD3" w:rsidRDefault="001979CF" w:rsidP="00F8564D">
      <w:pPr>
        <w:pStyle w:val="Observation"/>
      </w:pPr>
      <w:bookmarkStart w:id="10" w:name="_Toc16695265"/>
      <w:r>
        <w:t xml:space="preserve">In NR, CQI calculation </w:t>
      </w:r>
      <w:proofErr w:type="gramStart"/>
      <w:r>
        <w:t xml:space="preserve">is based on </w:t>
      </w:r>
      <w:r w:rsidR="00CF4BCF">
        <w:t xml:space="preserve">the </w:t>
      </w:r>
      <w:r w:rsidR="00C7798F">
        <w:t>assumption</w:t>
      </w:r>
      <w:proofErr w:type="gramEnd"/>
      <w:r w:rsidR="00C7798F">
        <w:t xml:space="preserve"> of</w:t>
      </w:r>
      <w:r>
        <w:t xml:space="preserve"> </w:t>
      </w:r>
      <w:r w:rsidR="00C7798F">
        <w:t xml:space="preserve">using </w:t>
      </w:r>
      <w:r w:rsidRPr="001979CF">
        <w:t>linear</w:t>
      </w:r>
      <w:r>
        <w:t>-</w:t>
      </w:r>
      <w:r w:rsidRPr="001979CF">
        <w:t>polarization</w:t>
      </w:r>
      <w:r>
        <w:t xml:space="preserve"> antennas.</w:t>
      </w:r>
      <w:bookmarkEnd w:id="10"/>
    </w:p>
    <w:p w14:paraId="49B12B13" w14:textId="4B1F9E51" w:rsidR="009C2AD3" w:rsidRDefault="009C2AD3" w:rsidP="009C2AD3">
      <w:r>
        <w:t xml:space="preserve">However, in satellite communication, the antennas on satellites are typically circular-polarized, e.g., left-hand circular polarization (LHCP) or right-hand circular polarization (RHCP), rather than linear polarization </w:t>
      </w:r>
      <w:r>
        <w:lastRenderedPageBreak/>
        <w:t xml:space="preserve">typically used in </w:t>
      </w:r>
      <w:r w:rsidR="00CF4BCF">
        <w:t xml:space="preserve">the </w:t>
      </w:r>
      <w:r>
        <w:t>terrestrial network (TN). For S band, if UE has an omni-directional antenna of linear polarization, while the antenna onboard a satellite is circularly polarized, such polarization mismatch leads to 3 dB loss in the radio link budget. This polarization mismatch between satellites and UE also leads to an imprecise CQI report, due to imprecise PMI estimation of UE.</w:t>
      </w:r>
    </w:p>
    <w:p w14:paraId="4B7D0847" w14:textId="05E8312B" w:rsidR="009C2AD3" w:rsidRPr="009C2AD3" w:rsidRDefault="00C7798F" w:rsidP="001979CF">
      <w:pPr>
        <w:pStyle w:val="Proposal"/>
      </w:pPr>
      <w:bookmarkStart w:id="11" w:name="_Toc16695260"/>
      <w:r>
        <w:t>For</w:t>
      </w:r>
      <w:r w:rsidR="001979CF">
        <w:t xml:space="preserve"> </w:t>
      </w:r>
      <w:r w:rsidR="00B02737">
        <w:t>CSI report</w:t>
      </w:r>
      <w:r w:rsidR="001979CF">
        <w:t>, polarization mismatch</w:t>
      </w:r>
      <w:r w:rsidR="000C6B85">
        <w:t xml:space="preserve"> on CQI </w:t>
      </w:r>
      <w:r w:rsidR="00B02737">
        <w:t>calculation</w:t>
      </w:r>
      <w:r w:rsidR="001979CF">
        <w:t xml:space="preserve"> shall be considered.</w:t>
      </w:r>
      <w:bookmarkEnd w:id="11"/>
    </w:p>
    <w:p w14:paraId="35B5201C" w14:textId="77777777" w:rsidR="00C7798F" w:rsidRDefault="00C7798F" w:rsidP="00C7798F">
      <w:pPr>
        <w:pStyle w:val="Heading3"/>
      </w:pPr>
      <w:r w:rsidRPr="00C7798F">
        <w:t>Long-term CQI prediction</w:t>
      </w:r>
    </w:p>
    <w:p w14:paraId="39542EE3" w14:textId="77777777" w:rsidR="00C7798F" w:rsidRDefault="00C7798F" w:rsidP="00C7798F">
      <w:r>
        <w:t>In Release 15 NR, for reporting CQI, a UE may derive for each CQI value reported in an uplink slot based on the following:</w:t>
      </w:r>
    </w:p>
    <w:p w14:paraId="6D979DF8" w14:textId="4C0D9F1A" w:rsidR="00C7798F" w:rsidRDefault="00C7798F" w:rsidP="0015785E">
      <w:pPr>
        <w:pStyle w:val="ListParagraph"/>
        <w:numPr>
          <w:ilvl w:val="0"/>
          <w:numId w:val="9"/>
        </w:numPr>
      </w:pPr>
      <w:r>
        <w:t xml:space="preserve">If a UE is not configured with higher layer parameter timeRestrictionForChannelMeasurements, the UE may derive the channel measurements for computing CSI value reported in an uplink slot based on only the NZP CSI-RS, no later than the CSI reference resource associated with the CSI resource setting. </w:t>
      </w:r>
    </w:p>
    <w:p w14:paraId="6C941553" w14:textId="17096225" w:rsidR="00C7798F" w:rsidRDefault="00C7798F" w:rsidP="0015785E">
      <w:pPr>
        <w:pStyle w:val="ListParagraph"/>
        <w:numPr>
          <w:ilvl w:val="0"/>
          <w:numId w:val="9"/>
        </w:numPr>
      </w:pPr>
      <w:r>
        <w:t xml:space="preserve">If a UE is configured with higher layer parameter timeRestrictionForChannelMeasurements in CSI-ReportConfig, the UE may derive the channel measurements for computing CSI reported in an uplink slot based on only the most recent, no later than the CSI reference resource, </w:t>
      </w:r>
      <w:r w:rsidR="00CF4BCF">
        <w:t xml:space="preserve">the </w:t>
      </w:r>
      <w:r>
        <w:t>occasion of NZP CSI-RS associated with the CSI resource setting.</w:t>
      </w:r>
    </w:p>
    <w:p w14:paraId="26BBBD21" w14:textId="0C910FE7" w:rsidR="00C7798F" w:rsidRDefault="00C7798F" w:rsidP="00F8564D">
      <w:pPr>
        <w:pStyle w:val="Observation"/>
      </w:pPr>
      <w:bookmarkStart w:id="12" w:name="_Toc16695266"/>
      <w:r>
        <w:t>In NR, long-term CQI measurement is up to UE implementation.</w:t>
      </w:r>
      <w:bookmarkEnd w:id="12"/>
    </w:p>
    <w:p w14:paraId="16FAABC2" w14:textId="5E06DB50" w:rsidR="00C7798F" w:rsidRDefault="00C7798F" w:rsidP="00C7798F">
      <w:r>
        <w:t xml:space="preserve">However, regarding a need of long-term CQI prediction to accommodate to the long RTT for most of NTN scenarios, it is necessary to have a clear boundary in time either for long-term CSI measurement or CQI prediction. For current CQI computing, either derived based on an unrestricted observation interval in time or based on only the most recent NZP CSI-RS, there is no clear interval in </w:t>
      </w:r>
      <w:r w:rsidR="00CF4BCF">
        <w:t xml:space="preserve">the </w:t>
      </w:r>
      <w:r>
        <w:t>time specified as a predicted interval or a long-term measurement interval for prediction. The predicted interval is needed if the CQI prediction is derived by the UE, while alternatively the long-term measurement interval in time is needed if the CQI prediction is handled by the NW.</w:t>
      </w:r>
      <w:r w:rsidRPr="00C7798F">
        <w:t xml:space="preserve"> </w:t>
      </w:r>
    </w:p>
    <w:p w14:paraId="20341072" w14:textId="70776C1D" w:rsidR="00780AAA" w:rsidRDefault="000C6B85" w:rsidP="0015785E">
      <w:pPr>
        <w:pStyle w:val="Proposal"/>
        <w:numPr>
          <w:ilvl w:val="0"/>
          <w:numId w:val="3"/>
        </w:numPr>
      </w:pPr>
      <w:bookmarkStart w:id="13" w:name="_Toc16695261"/>
      <w:r>
        <w:t>For</w:t>
      </w:r>
      <w:r w:rsidR="00C7798F">
        <w:t xml:space="preserve"> </w:t>
      </w:r>
      <w:r w:rsidR="00B02737">
        <w:t>CSI report</w:t>
      </w:r>
      <w:r w:rsidR="00C7798F">
        <w:t>,</w:t>
      </w:r>
      <w:r w:rsidR="009E0E99">
        <w:t xml:space="preserve"> specification on the long-term CQI measurement shall be considered.</w:t>
      </w:r>
      <w:bookmarkEnd w:id="13"/>
    </w:p>
    <w:bookmarkEnd w:id="4"/>
    <w:p w14:paraId="7B883DB7" w14:textId="075D9B00" w:rsidR="006A0741" w:rsidRDefault="006A0741" w:rsidP="006A0741">
      <w:pPr>
        <w:pStyle w:val="Heading2"/>
      </w:pPr>
      <w:r w:rsidRPr="006A0741">
        <w:t>Satellite Beam switching</w:t>
      </w:r>
    </w:p>
    <w:p w14:paraId="1FE4A02F" w14:textId="7FFAD09C" w:rsidR="002A1A42" w:rsidRPr="00F83858" w:rsidRDefault="001E3E19" w:rsidP="002A1A42">
      <w:pPr>
        <w:rPr>
          <w:szCs w:val="22"/>
        </w:rPr>
      </w:pPr>
      <w:r w:rsidRPr="00F83858">
        <w:rPr>
          <w:szCs w:val="22"/>
        </w:rPr>
        <w:t>In RAN1#97, t</w:t>
      </w:r>
      <w:r w:rsidR="002A1A42" w:rsidRPr="00F83858">
        <w:rPr>
          <w:szCs w:val="22"/>
        </w:rPr>
        <w:t xml:space="preserve">he proposals related to </w:t>
      </w:r>
      <w:r w:rsidRPr="00F83858">
        <w:rPr>
          <w:szCs w:val="22"/>
        </w:rPr>
        <w:t>s</w:t>
      </w:r>
      <w:r w:rsidR="002A1A42" w:rsidRPr="00F83858">
        <w:rPr>
          <w:szCs w:val="22"/>
        </w:rPr>
        <w:t xml:space="preserve">atellite beam switching are given in the </w:t>
      </w:r>
      <w:r w:rsidR="00812BAB" w:rsidRPr="00F83858">
        <w:rPr>
          <w:szCs w:val="22"/>
        </w:rPr>
        <w:t>list</w:t>
      </w:r>
      <w:r w:rsidR="002A1A42" w:rsidRPr="00F83858">
        <w:rPr>
          <w:szCs w:val="22"/>
        </w:rPr>
        <w:t>.</w:t>
      </w:r>
    </w:p>
    <w:p w14:paraId="20E1DC74" w14:textId="14C0B0B9" w:rsidR="002A1A42" w:rsidRPr="00F83858" w:rsidRDefault="002A1A42" w:rsidP="002A1A42">
      <w:pPr>
        <w:pStyle w:val="ListParagraph"/>
        <w:numPr>
          <w:ilvl w:val="0"/>
          <w:numId w:val="2"/>
        </w:numPr>
        <w:spacing w:before="120"/>
      </w:pPr>
      <w:r w:rsidRPr="00F83858">
        <w:t>A</w:t>
      </w:r>
      <w:r w:rsidR="00D177A4">
        <w:t xml:space="preserve">PT </w:t>
      </w:r>
      <w:r w:rsidRPr="00F83858">
        <w:t>and ZTE propose to reuse the NR Rel-15 beam management framework for intra-cell mobility in NTN.</w:t>
      </w:r>
    </w:p>
    <w:p w14:paraId="13D31C85" w14:textId="3F486AEB" w:rsidR="002A1A42" w:rsidRPr="00F83858" w:rsidRDefault="002A1A42" w:rsidP="002A1A42">
      <w:pPr>
        <w:pStyle w:val="ListParagraph"/>
        <w:numPr>
          <w:ilvl w:val="0"/>
          <w:numId w:val="2"/>
        </w:numPr>
      </w:pPr>
      <w:r w:rsidRPr="00F83858">
        <w:t>Qualcomm proposes to consider additional BM CSI-RS configurations to support different satellite implementation needs</w:t>
      </w:r>
    </w:p>
    <w:p w14:paraId="24F9CDA5" w14:textId="5BE61C80" w:rsidR="002A1A42" w:rsidRPr="00F83858" w:rsidRDefault="002A1A42" w:rsidP="002A1A42">
      <w:pPr>
        <w:pStyle w:val="ListParagraph"/>
        <w:numPr>
          <w:ilvl w:val="0"/>
          <w:numId w:val="2"/>
        </w:numPr>
      </w:pPr>
      <w:r w:rsidRPr="00F83858">
        <w:t>CATT</w:t>
      </w:r>
      <w:r w:rsidR="00D177A4">
        <w:t xml:space="preserve"> </w:t>
      </w:r>
      <w:r w:rsidRPr="00F83858">
        <w:t>propose to consider BWP switching mechanisms to support fast satellite beam switching (example: UE acknowledgement of beam switching).</w:t>
      </w:r>
    </w:p>
    <w:p w14:paraId="05380BA9" w14:textId="72B5B070" w:rsidR="00F83858" w:rsidRDefault="00F83858" w:rsidP="00F83858">
      <w:pPr>
        <w:pStyle w:val="BodyText"/>
        <w:rPr>
          <w:sz w:val="22"/>
          <w:szCs w:val="22"/>
        </w:rPr>
      </w:pPr>
      <w:r w:rsidRPr="00F83858">
        <w:rPr>
          <w:sz w:val="22"/>
          <w:szCs w:val="22"/>
        </w:rPr>
        <w:t xml:space="preserve">The following offline proposal </w:t>
      </w:r>
      <w:r w:rsidR="00480574">
        <w:rPr>
          <w:sz w:val="22"/>
          <w:szCs w:val="22"/>
        </w:rPr>
        <w:t>was made</w:t>
      </w:r>
      <w:r w:rsidRPr="00F83858">
        <w:rPr>
          <w:sz w:val="22"/>
          <w:szCs w:val="22"/>
        </w:rPr>
        <w:t xml:space="preserve"> in the feature lead summary</w:t>
      </w:r>
      <w:r w:rsidR="00030062">
        <w:rPr>
          <w:sz w:val="22"/>
          <w:szCs w:val="22"/>
        </w:rPr>
        <w:t xml:space="preserve"> </w:t>
      </w:r>
      <w:r w:rsidR="00030062">
        <w:rPr>
          <w:sz w:val="22"/>
          <w:szCs w:val="22"/>
        </w:rPr>
        <w:fldChar w:fldCharType="begin"/>
      </w:r>
      <w:r w:rsidR="00030062">
        <w:rPr>
          <w:sz w:val="22"/>
          <w:szCs w:val="22"/>
        </w:rPr>
        <w:instrText xml:space="preserve"> REF _Ref9582611 \r \h </w:instrText>
      </w:r>
      <w:r w:rsidR="00030062">
        <w:rPr>
          <w:sz w:val="22"/>
          <w:szCs w:val="22"/>
        </w:rPr>
      </w:r>
      <w:r w:rsidR="00030062">
        <w:rPr>
          <w:sz w:val="22"/>
          <w:szCs w:val="22"/>
        </w:rPr>
        <w:fldChar w:fldCharType="separate"/>
      </w:r>
      <w:r w:rsidR="00827636">
        <w:rPr>
          <w:sz w:val="22"/>
          <w:szCs w:val="22"/>
        </w:rPr>
        <w:t>[6]</w:t>
      </w:r>
      <w:r w:rsidR="00030062">
        <w:rPr>
          <w:sz w:val="22"/>
          <w:szCs w:val="22"/>
        </w:rPr>
        <w:fldChar w:fldCharType="end"/>
      </w:r>
      <w:r w:rsidRPr="00F83858">
        <w:rPr>
          <w:sz w:val="22"/>
          <w:szCs w:val="22"/>
        </w:rPr>
        <w:t>.</w:t>
      </w:r>
    </w:p>
    <w:tbl>
      <w:tblPr>
        <w:tblStyle w:val="TableGrid"/>
        <w:tblW w:w="0" w:type="auto"/>
        <w:tblLook w:val="04A0" w:firstRow="1" w:lastRow="0" w:firstColumn="1" w:lastColumn="0" w:noHBand="0" w:noVBand="1"/>
      </w:tblPr>
      <w:tblGrid>
        <w:gridCol w:w="9350"/>
      </w:tblGrid>
      <w:tr w:rsidR="00FB683E" w14:paraId="339B1BA4" w14:textId="77777777" w:rsidTr="00FB683E">
        <w:tc>
          <w:tcPr>
            <w:tcW w:w="9350" w:type="dxa"/>
          </w:tcPr>
          <w:p w14:paraId="62499238" w14:textId="77777777" w:rsidR="00FB683E" w:rsidRDefault="00FB683E" w:rsidP="00FB683E">
            <w:pPr>
              <w:pStyle w:val="BodyText"/>
              <w:rPr>
                <w:sz w:val="22"/>
                <w:szCs w:val="22"/>
              </w:rPr>
            </w:pPr>
            <w:r>
              <w:rPr>
                <w:b/>
                <w:sz w:val="22"/>
                <w:szCs w:val="22"/>
              </w:rPr>
              <w:t xml:space="preserve">Offline </w:t>
            </w:r>
            <w:r w:rsidRPr="00F83858">
              <w:rPr>
                <w:b/>
                <w:sz w:val="22"/>
                <w:szCs w:val="22"/>
              </w:rPr>
              <w:t>Proposal</w:t>
            </w:r>
            <w:r w:rsidRPr="00C25D55">
              <w:rPr>
                <w:sz w:val="22"/>
                <w:szCs w:val="22"/>
              </w:rPr>
              <w:t xml:space="preserve"> in RAN1#97</w:t>
            </w:r>
            <w:r>
              <w:rPr>
                <w:sz w:val="22"/>
                <w:szCs w:val="22"/>
              </w:rPr>
              <w:t xml:space="preserve">: </w:t>
            </w:r>
          </w:p>
          <w:p w14:paraId="260EDB6E" w14:textId="2EF403FB" w:rsidR="00FB683E" w:rsidRPr="00F83858" w:rsidRDefault="00FB683E" w:rsidP="00FB683E">
            <w:pPr>
              <w:pStyle w:val="BodyText"/>
              <w:rPr>
                <w:sz w:val="22"/>
                <w:szCs w:val="22"/>
              </w:rPr>
            </w:pPr>
            <w:r w:rsidRPr="00F83858">
              <w:rPr>
                <w:sz w:val="22"/>
                <w:szCs w:val="22"/>
              </w:rPr>
              <w:t>Discuss and study beam switching mechanism including the impact on UE beam switching time and need for additional BM CSI-RS configurations in NTN.</w:t>
            </w:r>
          </w:p>
          <w:p w14:paraId="2D626A77" w14:textId="7B48B27B" w:rsidR="00FB683E" w:rsidRPr="00FB683E" w:rsidRDefault="00FB683E" w:rsidP="0015785E">
            <w:pPr>
              <w:pStyle w:val="BodyText"/>
              <w:numPr>
                <w:ilvl w:val="0"/>
                <w:numId w:val="4"/>
              </w:numPr>
              <w:overflowPunct/>
              <w:autoSpaceDE/>
              <w:autoSpaceDN/>
              <w:adjustRightInd/>
              <w:textAlignment w:val="auto"/>
              <w:rPr>
                <w:sz w:val="22"/>
                <w:szCs w:val="22"/>
              </w:rPr>
            </w:pPr>
            <w:r w:rsidRPr="00F83858">
              <w:rPr>
                <w:sz w:val="22"/>
                <w:szCs w:val="22"/>
              </w:rPr>
              <w:t>NR Rel-15 beam management framework is the starting point for discussions and whether further enhancements are needed is FFS.</w:t>
            </w:r>
          </w:p>
        </w:tc>
      </w:tr>
    </w:tbl>
    <w:p w14:paraId="57BC1066" w14:textId="1EDF8BD2" w:rsidR="00680882" w:rsidRDefault="00680882" w:rsidP="00680882">
      <w:pPr>
        <w:spacing w:before="120"/>
        <w:rPr>
          <w:lang w:val="en-US" w:eastAsia="zh-TW"/>
        </w:rPr>
      </w:pPr>
      <w:r>
        <w:lastRenderedPageBreak/>
        <w:t xml:space="preserve">As mentioned in </w:t>
      </w:r>
      <w:r>
        <w:rPr>
          <w:lang w:val="en-US" w:eastAsia="zh-TW"/>
        </w:rPr>
        <w:fldChar w:fldCharType="begin"/>
      </w:r>
      <w:r>
        <w:rPr>
          <w:lang w:val="en-US" w:eastAsia="zh-TW"/>
        </w:rPr>
        <w:instrText xml:space="preserve"> REF _Ref9589316 \r \h </w:instrText>
      </w:r>
      <w:r>
        <w:rPr>
          <w:lang w:val="en-US" w:eastAsia="zh-TW"/>
        </w:rPr>
      </w:r>
      <w:r>
        <w:rPr>
          <w:lang w:val="en-US" w:eastAsia="zh-TW"/>
        </w:rPr>
        <w:fldChar w:fldCharType="separate"/>
      </w:r>
      <w:r>
        <w:rPr>
          <w:lang w:val="en-US" w:eastAsia="zh-TW"/>
        </w:rPr>
        <w:t>[3]</w:t>
      </w:r>
      <w:r>
        <w:rPr>
          <w:lang w:val="en-US" w:eastAsia="zh-TW"/>
        </w:rPr>
        <w:fldChar w:fldCharType="end"/>
      </w:r>
      <w:r w:rsidRPr="00914ACC">
        <w:rPr>
          <w:lang w:val="en-US" w:eastAsia="zh-TW"/>
        </w:rPr>
        <w:t xml:space="preserve">, the satellite parameters set with small beam diameter was agreed, e.g., </w:t>
      </w:r>
      <w:r>
        <w:rPr>
          <w:lang w:val="en-US" w:eastAsia="zh-TW"/>
        </w:rPr>
        <w:t>2</w:t>
      </w:r>
      <w:r w:rsidRPr="00914ACC">
        <w:rPr>
          <w:lang w:val="en-US" w:eastAsia="zh-TW"/>
        </w:rPr>
        <w:t xml:space="preserve">0 km for LEO-600 in </w:t>
      </w:r>
      <w:r>
        <w:rPr>
          <w:lang w:val="en-US" w:eastAsia="zh-TW"/>
        </w:rPr>
        <w:t>Ka</w:t>
      </w:r>
      <w:r w:rsidRPr="00914ACC">
        <w:rPr>
          <w:lang w:val="en-US" w:eastAsia="zh-TW"/>
        </w:rPr>
        <w:t xml:space="preserve">-band. Based on this </w:t>
      </w:r>
      <w:r>
        <w:rPr>
          <w:lang w:val="en-US" w:eastAsia="zh-TW"/>
        </w:rPr>
        <w:t>assumption</w:t>
      </w:r>
      <w:r w:rsidRPr="00914ACC">
        <w:rPr>
          <w:lang w:val="en-US" w:eastAsia="zh-TW"/>
        </w:rPr>
        <w:t xml:space="preserve">, the available serving duration for each beam </w:t>
      </w:r>
      <w:r>
        <w:rPr>
          <w:lang w:val="en-US" w:eastAsia="zh-TW"/>
        </w:rPr>
        <w:t>will be</w:t>
      </w:r>
      <w:r w:rsidRPr="00914ACC">
        <w:rPr>
          <w:lang w:val="en-US" w:eastAsia="zh-TW"/>
        </w:rPr>
        <w:t xml:space="preserve"> less than </w:t>
      </w:r>
      <w:r>
        <w:rPr>
          <w:lang w:val="en-US" w:eastAsia="zh-TW"/>
        </w:rPr>
        <w:t>3</w:t>
      </w:r>
      <w:r w:rsidRPr="00914ACC">
        <w:rPr>
          <w:lang w:val="en-US" w:eastAsia="zh-TW"/>
        </w:rPr>
        <w:t>s</w:t>
      </w:r>
      <w:r>
        <w:rPr>
          <w:lang w:val="en-US" w:eastAsia="zh-TW"/>
        </w:rPr>
        <w:t>, given satellite speed as 7.56 km/s and UE speed as 1000 km per hour, i.e., 0.28 km/s.</w:t>
      </w:r>
      <w:r w:rsidR="001A5434">
        <w:rPr>
          <w:lang w:val="en-US" w:eastAsia="zh-TW"/>
        </w:rPr>
        <w:t xml:space="preserve"> According to this analysis, we have the following observations.</w:t>
      </w:r>
    </w:p>
    <w:p w14:paraId="03CEE2B6" w14:textId="6E7C98E2" w:rsidR="00680882" w:rsidRDefault="00680882" w:rsidP="0015785E">
      <w:pPr>
        <w:pStyle w:val="ListParagraph"/>
        <w:numPr>
          <w:ilvl w:val="0"/>
          <w:numId w:val="4"/>
        </w:numPr>
      </w:pPr>
      <w:r w:rsidRPr="001A5434">
        <w:rPr>
          <w:lang w:val="en-US" w:eastAsia="zh-TW"/>
        </w:rPr>
        <w:t xml:space="preserve">For achieving the continuous services, the satellite beam switch will be a challenge, especially if it </w:t>
      </w:r>
      <w:r w:rsidR="00CF4BCF">
        <w:rPr>
          <w:lang w:val="en-US" w:eastAsia="zh-TW"/>
        </w:rPr>
        <w:t>relies</w:t>
      </w:r>
      <w:r w:rsidRPr="001A5434">
        <w:rPr>
          <w:lang w:val="en-US" w:eastAsia="zh-TW"/>
        </w:rPr>
        <w:t xml:space="preserve"> on the higher layer handover via RRM</w:t>
      </w:r>
      <w:r w:rsidR="001A5434" w:rsidRPr="001A5434">
        <w:rPr>
          <w:lang w:val="en-US" w:eastAsia="zh-TW"/>
        </w:rPr>
        <w:t xml:space="preserve"> when </w:t>
      </w:r>
      <w:r w:rsidRPr="001A5434">
        <w:rPr>
          <w:lang w:val="en-US" w:eastAsia="zh-TW"/>
        </w:rPr>
        <w:t>PCI and SSB mapping into satellite beams is given by one PCI per satellite beam.</w:t>
      </w:r>
      <w:r>
        <w:t xml:space="preserve"> </w:t>
      </w:r>
    </w:p>
    <w:p w14:paraId="32DC01C3" w14:textId="142CDF5D" w:rsidR="00680882" w:rsidRPr="001A5434" w:rsidRDefault="00680882" w:rsidP="0015785E">
      <w:pPr>
        <w:pStyle w:val="ListParagraph"/>
        <w:numPr>
          <w:ilvl w:val="0"/>
          <w:numId w:val="4"/>
        </w:numPr>
        <w:rPr>
          <w:lang w:val="en-US" w:eastAsia="zh-TW"/>
        </w:rPr>
      </w:pPr>
      <w:r w:rsidRPr="001A5434">
        <w:rPr>
          <w:lang w:val="en-US" w:eastAsia="zh-TW"/>
        </w:rPr>
        <w:t xml:space="preserve">Even if satellite beam is defined </w:t>
      </w:r>
      <w:r w:rsidR="001A5434" w:rsidRPr="001A5434">
        <w:rPr>
          <w:lang w:val="en-US" w:eastAsia="zh-TW"/>
        </w:rPr>
        <w:t xml:space="preserve">by </w:t>
      </w:r>
      <w:r w:rsidRPr="001A5434">
        <w:rPr>
          <w:lang w:val="en-US" w:eastAsia="zh-TW"/>
        </w:rPr>
        <w:t>multiple satellite beam</w:t>
      </w:r>
      <w:r w:rsidR="001A5434" w:rsidRPr="001A5434">
        <w:rPr>
          <w:lang w:val="en-US" w:eastAsia="zh-TW"/>
        </w:rPr>
        <w:t>s per cell</w:t>
      </w:r>
      <w:r w:rsidRPr="001A5434">
        <w:rPr>
          <w:lang w:val="en-US" w:eastAsia="zh-TW"/>
        </w:rPr>
        <w:t>, it is still unclear how the NR L1-mobility can be used for the satellite beam switch, especially for each satellite beam, it may operate in different frequency to reduce inter</w:t>
      </w:r>
      <w:r w:rsidR="00CF4BCF">
        <w:rPr>
          <w:lang w:val="en-US" w:eastAsia="zh-TW"/>
        </w:rPr>
        <w:t>-</w:t>
      </w:r>
      <w:r w:rsidRPr="001A5434">
        <w:rPr>
          <w:lang w:val="en-US" w:eastAsia="zh-TW"/>
        </w:rPr>
        <w:t>satellite beam interference.</w:t>
      </w:r>
    </w:p>
    <w:p w14:paraId="24F141DF" w14:textId="14213A25" w:rsidR="00F8564D" w:rsidRPr="00F8564D" w:rsidRDefault="00680882" w:rsidP="0015785E">
      <w:pPr>
        <w:pStyle w:val="ListParagraph"/>
        <w:numPr>
          <w:ilvl w:val="0"/>
          <w:numId w:val="4"/>
        </w:numPr>
        <w:rPr>
          <w:lang w:val="en-US" w:eastAsia="zh-TW"/>
        </w:rPr>
      </w:pPr>
      <w:r w:rsidRPr="001A5434">
        <w:rPr>
          <w:lang w:val="en-US" w:eastAsia="zh-TW"/>
        </w:rPr>
        <w:t xml:space="preserve">Finally, the beam-specific pre-compensation of the common frequency shift was agreed in RAN1#97. That means, for each satellite beam, UE may see different frequency shift due to the prior compensation at the satellite side. It is unclear whether there is any impact on the satellite beam switch. </w:t>
      </w:r>
    </w:p>
    <w:p w14:paraId="32145267" w14:textId="22A2DF04" w:rsidR="009E0E99" w:rsidRDefault="001A5434" w:rsidP="001A5434">
      <w:pPr>
        <w:spacing w:after="240"/>
        <w:rPr>
          <w:lang w:val="en-US"/>
        </w:rPr>
      </w:pPr>
      <w:r w:rsidRPr="001A5434">
        <w:rPr>
          <w:lang w:val="en-US"/>
        </w:rPr>
        <w:t xml:space="preserve">To handle this aspect, the bandwidth part (BWP) defined in NR may be leveraged. BWP refers to a small part of the full carrier bandwidth. For alleviating the inter-beam interference, one possibility is to introduce an association between BWP and beam, e.g., </w:t>
      </w:r>
      <w:r>
        <w:rPr>
          <w:lang w:val="en-US"/>
        </w:rPr>
        <w:t>NW</w:t>
      </w:r>
      <w:r w:rsidRPr="001A5434">
        <w:rPr>
          <w:lang w:val="en-US"/>
        </w:rPr>
        <w:t xml:space="preserve"> may configure non-overlapped BWPs and individual BWPs are associated with individual satellite beams. This beam-fixed BWP association may be configured to all UE in a serving cell, such that when a UE moves to a new satellite beam, </w:t>
      </w:r>
      <w:r>
        <w:rPr>
          <w:lang w:val="en-US"/>
        </w:rPr>
        <w:t>NW</w:t>
      </w:r>
      <w:r w:rsidRPr="001A5434">
        <w:rPr>
          <w:lang w:val="en-US"/>
        </w:rPr>
        <w:t xml:space="preserve"> can trigger a DL command to change satellite beam and BWP simultaneously. As illustrated in </w:t>
      </w:r>
      <w:r w:rsidR="00ED7BAA">
        <w:rPr>
          <w:lang w:val="en-US"/>
        </w:rPr>
        <w:fldChar w:fldCharType="begin"/>
      </w:r>
      <w:r w:rsidR="00ED7BAA">
        <w:rPr>
          <w:lang w:val="en-US"/>
        </w:rPr>
        <w:instrText xml:space="preserve"> REF _Ref16692431 \h </w:instrText>
      </w:r>
      <w:r w:rsidR="00ED7BAA">
        <w:rPr>
          <w:lang w:val="en-US"/>
        </w:rPr>
      </w:r>
      <w:r w:rsidR="00ED7BAA">
        <w:rPr>
          <w:lang w:val="en-US"/>
        </w:rPr>
        <w:fldChar w:fldCharType="separate"/>
      </w:r>
      <w:r w:rsidR="00ED7BAA">
        <w:t xml:space="preserve">Figure </w:t>
      </w:r>
      <w:r w:rsidR="00ED7BAA">
        <w:rPr>
          <w:noProof/>
        </w:rPr>
        <w:t>2</w:t>
      </w:r>
      <w:r w:rsidR="00ED7BAA">
        <w:rPr>
          <w:lang w:val="en-US"/>
        </w:rPr>
        <w:fldChar w:fldCharType="end"/>
      </w:r>
      <w:r w:rsidRPr="001A5434">
        <w:rPr>
          <w:lang w:val="en-US"/>
        </w:rPr>
        <w:t>, UE may receive a BWP switch command to update both BWP and satellite/UE beam information.</w:t>
      </w:r>
    </w:p>
    <w:p w14:paraId="0682057C" w14:textId="0103C72B" w:rsidR="001A5434" w:rsidRDefault="001A5434" w:rsidP="001A5434">
      <w:pPr>
        <w:jc w:val="center"/>
        <w:rPr>
          <w:lang w:val="en-US"/>
        </w:rPr>
      </w:pPr>
      <w:r>
        <w:rPr>
          <w:noProof/>
        </w:rPr>
        <w:drawing>
          <wp:inline distT="0" distB="0" distL="0" distR="0" wp14:anchorId="4713EC62" wp14:editId="63FEDD41">
            <wp:extent cx="4754880" cy="2194560"/>
            <wp:effectExtent l="0" t="0" r="7620" b="0"/>
            <wp:docPr id="11" name="Picture 11"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close up of a 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754880" cy="2194560"/>
                    </a:xfrm>
                    <a:prstGeom prst="rect">
                      <a:avLst/>
                    </a:prstGeom>
                  </pic:spPr>
                </pic:pic>
              </a:graphicData>
            </a:graphic>
          </wp:inline>
        </w:drawing>
      </w:r>
    </w:p>
    <w:p w14:paraId="08FC61DD" w14:textId="5D5257A5" w:rsidR="001A5434" w:rsidRDefault="00ED7BAA" w:rsidP="00ED7BAA">
      <w:pPr>
        <w:pStyle w:val="Caption"/>
        <w:spacing w:after="120"/>
        <w:rPr>
          <w:lang w:val="en-US"/>
        </w:rPr>
      </w:pPr>
      <w:bookmarkStart w:id="14" w:name="_Ref16692431"/>
      <w:r>
        <w:t xml:space="preserve">Figure </w:t>
      </w:r>
      <w:r>
        <w:fldChar w:fldCharType="begin"/>
      </w:r>
      <w:r>
        <w:instrText xml:space="preserve"> SEQ Figure \* ARABIC </w:instrText>
      </w:r>
      <w:r>
        <w:fldChar w:fldCharType="separate"/>
      </w:r>
      <w:r>
        <w:rPr>
          <w:noProof/>
        </w:rPr>
        <w:t>2</w:t>
      </w:r>
      <w:r>
        <w:fldChar w:fldCharType="end"/>
      </w:r>
      <w:bookmarkEnd w:id="14"/>
      <w:r>
        <w:t xml:space="preserve">: </w:t>
      </w:r>
      <w:r w:rsidRPr="00ED7BAA">
        <w:rPr>
          <w:lang w:val="en-US"/>
        </w:rPr>
        <w:t>an illustration of beam-fixed BWP switch</w:t>
      </w:r>
    </w:p>
    <w:p w14:paraId="3AF941D0" w14:textId="0D445959" w:rsidR="00ED7BAA" w:rsidRDefault="00ED7BAA" w:rsidP="00ED7BAA">
      <w:pPr>
        <w:rPr>
          <w:lang w:val="en-US"/>
        </w:rPr>
      </w:pPr>
      <w:r w:rsidRPr="00ED7BAA">
        <w:rPr>
          <w:lang w:val="en-US"/>
        </w:rPr>
        <w:t>While most of Rel-15 beam management principles may be reused in the beam-fixed BWP assumption</w:t>
      </w:r>
      <w:r>
        <w:rPr>
          <w:lang w:val="en-US"/>
        </w:rPr>
        <w:t>, one potential issue may be h</w:t>
      </w:r>
      <w:r w:rsidRPr="00ED7BAA">
        <w:rPr>
          <w:lang w:val="en-US"/>
        </w:rPr>
        <w:t xml:space="preserve">ow </w:t>
      </w:r>
      <w:r>
        <w:rPr>
          <w:lang w:val="en-US"/>
        </w:rPr>
        <w:t>NR</w:t>
      </w:r>
      <w:r w:rsidRPr="00ED7BAA">
        <w:rPr>
          <w:lang w:val="en-US"/>
        </w:rPr>
        <w:t xml:space="preserve"> initial access work</w:t>
      </w:r>
      <w:r>
        <w:rPr>
          <w:lang w:val="en-US"/>
        </w:rPr>
        <w:t>s</w:t>
      </w:r>
      <w:r w:rsidRPr="00ED7BAA">
        <w:rPr>
          <w:lang w:val="en-US"/>
        </w:rPr>
        <w:t xml:space="preserve"> under </w:t>
      </w:r>
      <w:r>
        <w:rPr>
          <w:lang w:val="en-US"/>
        </w:rPr>
        <w:t xml:space="preserve">this </w:t>
      </w:r>
      <w:r w:rsidRPr="00ED7BAA">
        <w:rPr>
          <w:lang w:val="en-US"/>
        </w:rPr>
        <w:t>BWP-beam binding</w:t>
      </w:r>
      <w:r>
        <w:rPr>
          <w:lang w:val="en-US"/>
        </w:rPr>
        <w:t xml:space="preserve"> assumption. Since a</w:t>
      </w:r>
      <w:r w:rsidRPr="00ED7BAA">
        <w:rPr>
          <w:lang w:val="en-US"/>
        </w:rPr>
        <w:t xml:space="preserve">ll SSBs in a </w:t>
      </w:r>
      <w:r>
        <w:rPr>
          <w:lang w:val="en-US"/>
        </w:rPr>
        <w:t xml:space="preserve">serving </w:t>
      </w:r>
      <w:r w:rsidRPr="00ED7BAA">
        <w:rPr>
          <w:lang w:val="en-US"/>
        </w:rPr>
        <w:t>cell lead to the same initial DL BWP</w:t>
      </w:r>
      <w:r>
        <w:rPr>
          <w:lang w:val="en-US"/>
        </w:rPr>
        <w:t xml:space="preserve"> in NR, </w:t>
      </w:r>
      <w:r w:rsidR="00C83581">
        <w:rPr>
          <w:lang w:val="en-US"/>
        </w:rPr>
        <w:t>it is not clear which satellite beam shall be associated with the initial DL BWP. One simple solution is to consider different beam sizes and allow beam overlapping in a serving cell to maximize the coverage of initial DL BWP.</w:t>
      </w:r>
      <w:r w:rsidR="00DA764B">
        <w:rPr>
          <w:lang w:val="en-US"/>
        </w:rPr>
        <w:t xml:space="preserve"> Related details may need FFS.</w:t>
      </w:r>
    </w:p>
    <w:p w14:paraId="54201A47" w14:textId="1881B792" w:rsidR="00E9215C" w:rsidRPr="00F8564D" w:rsidRDefault="000C6B85" w:rsidP="00E9215C">
      <w:pPr>
        <w:pStyle w:val="Proposal"/>
        <w:rPr>
          <w:lang w:val="en-US"/>
        </w:rPr>
      </w:pPr>
      <w:bookmarkStart w:id="15" w:name="_Toc16695262"/>
      <w:r>
        <w:rPr>
          <w:lang w:val="en-US"/>
        </w:rPr>
        <w:t>For</w:t>
      </w:r>
      <w:r w:rsidR="00F8564D">
        <w:rPr>
          <w:lang w:val="en-US"/>
        </w:rPr>
        <w:t xml:space="preserve"> </w:t>
      </w:r>
      <w:r w:rsidR="00B02737">
        <w:rPr>
          <w:lang w:val="en-US"/>
        </w:rPr>
        <w:t>L1-mobility</w:t>
      </w:r>
      <w:r w:rsidR="00F8564D">
        <w:rPr>
          <w:lang w:val="en-US"/>
        </w:rPr>
        <w:t xml:space="preserve">, </w:t>
      </w:r>
      <w:r w:rsidR="00CF4BCF">
        <w:rPr>
          <w:lang w:val="en-US"/>
        </w:rPr>
        <w:t xml:space="preserve">the </w:t>
      </w:r>
      <w:r w:rsidR="00F8564D">
        <w:rPr>
          <w:lang w:val="en-US"/>
        </w:rPr>
        <w:t>association between satellite b</w:t>
      </w:r>
      <w:r w:rsidR="00F8564D" w:rsidRPr="00F8564D">
        <w:rPr>
          <w:lang w:val="en-US"/>
        </w:rPr>
        <w:t>eam</w:t>
      </w:r>
      <w:r w:rsidR="00F8564D">
        <w:rPr>
          <w:lang w:val="en-US"/>
        </w:rPr>
        <w:t>s and</w:t>
      </w:r>
      <w:r w:rsidR="00F8564D" w:rsidRPr="00F8564D">
        <w:rPr>
          <w:lang w:val="en-US"/>
        </w:rPr>
        <w:t xml:space="preserve"> BWP</w:t>
      </w:r>
      <w:r w:rsidR="00F8564D">
        <w:rPr>
          <w:lang w:val="en-US"/>
        </w:rPr>
        <w:t>s shall be considered.</w:t>
      </w:r>
      <w:bookmarkEnd w:id="15"/>
    </w:p>
    <w:p w14:paraId="42044CA2" w14:textId="77777777" w:rsidR="00E65ED1" w:rsidRDefault="00A558B4" w:rsidP="00644835">
      <w:pPr>
        <w:pStyle w:val="Heading1"/>
        <w:snapToGrid w:val="0"/>
        <w:jc w:val="both"/>
      </w:pPr>
      <w:r>
        <w:lastRenderedPageBreak/>
        <w:t>Conclusion</w:t>
      </w:r>
    </w:p>
    <w:p w14:paraId="39FCCA54" w14:textId="31432225" w:rsidR="00E6785D" w:rsidRDefault="00E6785D">
      <w:pPr>
        <w:snapToGrid w:val="0"/>
      </w:pPr>
      <w:r>
        <w:t>In this contribution, we have the following observations</w:t>
      </w:r>
      <w:r w:rsidR="00BC0ACC">
        <w:t>.</w:t>
      </w:r>
    </w:p>
    <w:p w14:paraId="158ED280" w14:textId="3F092EBF" w:rsidR="00CF4BCF" w:rsidRDefault="000B5758">
      <w:pPr>
        <w:pStyle w:val="TOC1"/>
        <w:rPr>
          <w:rFonts w:eastAsiaTheme="minorEastAsia" w:cstheme="minorBidi"/>
          <w:b w:val="0"/>
          <w:szCs w:val="22"/>
          <w:lang w:eastAsia="zh-TW"/>
        </w:rPr>
      </w:pPr>
      <w:r w:rsidRPr="000B5758">
        <w:fldChar w:fldCharType="begin"/>
      </w:r>
      <w:r w:rsidRPr="000B5758">
        <w:instrText xml:space="preserve"> TOC \n \h \z \t "Observation,1" </w:instrText>
      </w:r>
      <w:r w:rsidRPr="000B5758">
        <w:fldChar w:fldCharType="separate"/>
      </w:r>
      <w:hyperlink w:anchor="_Toc16695263" w:history="1">
        <w:r w:rsidR="00CF4BCF" w:rsidRPr="001C2D11">
          <w:rPr>
            <w:rStyle w:val="Hyperlink"/>
          </w:rPr>
          <w:t>Observation 1</w:t>
        </w:r>
        <w:r w:rsidR="00CF4BCF">
          <w:rPr>
            <w:rFonts w:eastAsiaTheme="minorEastAsia" w:cstheme="minorBidi"/>
            <w:b w:val="0"/>
            <w:szCs w:val="22"/>
            <w:lang w:eastAsia="zh-TW"/>
          </w:rPr>
          <w:tab/>
        </w:r>
        <w:r w:rsidR="00CF4BCF" w:rsidRPr="001C2D11">
          <w:rPr>
            <w:rStyle w:val="Hyperlink"/>
          </w:rPr>
          <w:t>The CSI measurement/reporting in NR Rel-15 needs to be enhanced for NTN.</w:t>
        </w:r>
      </w:hyperlink>
    </w:p>
    <w:p w14:paraId="232E472D" w14:textId="365EEBBA" w:rsidR="00CF4BCF" w:rsidRDefault="00DF7445">
      <w:pPr>
        <w:pStyle w:val="TOC1"/>
        <w:rPr>
          <w:rFonts w:eastAsiaTheme="minorEastAsia" w:cstheme="minorBidi"/>
          <w:b w:val="0"/>
          <w:szCs w:val="22"/>
          <w:lang w:eastAsia="zh-TW"/>
        </w:rPr>
      </w:pPr>
      <w:hyperlink w:anchor="_Toc16695264" w:history="1">
        <w:r w:rsidR="00CF4BCF" w:rsidRPr="001C2D11">
          <w:rPr>
            <w:rStyle w:val="Hyperlink"/>
          </w:rPr>
          <w:t>Observation 2</w:t>
        </w:r>
        <w:r w:rsidR="00CF4BCF">
          <w:rPr>
            <w:rFonts w:eastAsiaTheme="minorEastAsia" w:cstheme="minorBidi"/>
            <w:b w:val="0"/>
            <w:szCs w:val="22"/>
            <w:lang w:eastAsia="zh-TW"/>
          </w:rPr>
          <w:tab/>
        </w:r>
        <w:r w:rsidR="00CF4BCF" w:rsidRPr="001C2D11">
          <w:rPr>
            <w:rStyle w:val="Hyperlink"/>
          </w:rPr>
          <w:t>In NR, BLER target is not configurable and is associated with a COI table.</w:t>
        </w:r>
      </w:hyperlink>
    </w:p>
    <w:p w14:paraId="416D588C" w14:textId="1ED33544" w:rsidR="00CF4BCF" w:rsidRDefault="00DF7445">
      <w:pPr>
        <w:pStyle w:val="TOC1"/>
        <w:rPr>
          <w:rFonts w:eastAsiaTheme="minorEastAsia" w:cstheme="minorBidi"/>
          <w:b w:val="0"/>
          <w:szCs w:val="22"/>
          <w:lang w:eastAsia="zh-TW"/>
        </w:rPr>
      </w:pPr>
      <w:hyperlink w:anchor="_Toc16695265" w:history="1">
        <w:r w:rsidR="00CF4BCF" w:rsidRPr="001C2D11">
          <w:rPr>
            <w:rStyle w:val="Hyperlink"/>
          </w:rPr>
          <w:t>Observation 3</w:t>
        </w:r>
        <w:r w:rsidR="00CF4BCF">
          <w:rPr>
            <w:rFonts w:eastAsiaTheme="minorEastAsia" w:cstheme="minorBidi"/>
            <w:b w:val="0"/>
            <w:szCs w:val="22"/>
            <w:lang w:eastAsia="zh-TW"/>
          </w:rPr>
          <w:tab/>
        </w:r>
        <w:r w:rsidR="00CF4BCF" w:rsidRPr="001C2D11">
          <w:rPr>
            <w:rStyle w:val="Hyperlink"/>
          </w:rPr>
          <w:t>In NR, CQI calculation is based on the assumption of using linear-polarization antennas.</w:t>
        </w:r>
      </w:hyperlink>
    </w:p>
    <w:p w14:paraId="1AEACC7A" w14:textId="0696975A" w:rsidR="00CF4BCF" w:rsidRDefault="00DF7445">
      <w:pPr>
        <w:pStyle w:val="TOC1"/>
        <w:rPr>
          <w:rFonts w:eastAsiaTheme="minorEastAsia" w:cstheme="minorBidi"/>
          <w:b w:val="0"/>
          <w:szCs w:val="22"/>
          <w:lang w:eastAsia="zh-TW"/>
        </w:rPr>
      </w:pPr>
      <w:hyperlink w:anchor="_Toc16695266" w:history="1">
        <w:r w:rsidR="00CF4BCF" w:rsidRPr="001C2D11">
          <w:rPr>
            <w:rStyle w:val="Hyperlink"/>
          </w:rPr>
          <w:t>Observation 4</w:t>
        </w:r>
        <w:r w:rsidR="00CF4BCF">
          <w:rPr>
            <w:rFonts w:eastAsiaTheme="minorEastAsia" w:cstheme="minorBidi"/>
            <w:b w:val="0"/>
            <w:szCs w:val="22"/>
            <w:lang w:eastAsia="zh-TW"/>
          </w:rPr>
          <w:tab/>
        </w:r>
        <w:r w:rsidR="00CF4BCF" w:rsidRPr="001C2D11">
          <w:rPr>
            <w:rStyle w:val="Hyperlink"/>
          </w:rPr>
          <w:t>In NR, long-term CQI measurement is up to UE implementation.</w:t>
        </w:r>
      </w:hyperlink>
    </w:p>
    <w:p w14:paraId="15AB37F7" w14:textId="4B083966" w:rsidR="00E6785D" w:rsidRDefault="000B5758">
      <w:pPr>
        <w:snapToGrid w:val="0"/>
      </w:pPr>
      <w:r w:rsidRPr="000B5758">
        <w:rPr>
          <w:b/>
        </w:rPr>
        <w:fldChar w:fldCharType="end"/>
      </w:r>
      <w:r w:rsidR="00D9451A">
        <w:t>Based on the above observations</w:t>
      </w:r>
      <w:r w:rsidR="003C13D5">
        <w:t>, we then have the following proposals</w:t>
      </w:r>
      <w:r w:rsidR="00D9451A">
        <w:t>.</w:t>
      </w:r>
    </w:p>
    <w:p w14:paraId="1F00FAD2" w14:textId="3AA0D586" w:rsidR="00CF4BCF" w:rsidRDefault="000C6B85">
      <w:pPr>
        <w:pStyle w:val="TOC1"/>
        <w:rPr>
          <w:rFonts w:eastAsiaTheme="minorEastAsia" w:cstheme="minorBidi"/>
          <w:b w:val="0"/>
          <w:szCs w:val="22"/>
          <w:lang w:eastAsia="zh-TW"/>
        </w:rPr>
      </w:pPr>
      <w:r>
        <w:fldChar w:fldCharType="begin"/>
      </w:r>
      <w:r>
        <w:instrText xml:space="preserve"> TOC \n \p " " \h \z \t "Proposal,1" </w:instrText>
      </w:r>
      <w:r>
        <w:fldChar w:fldCharType="separate"/>
      </w:r>
      <w:hyperlink w:anchor="_Toc16695258" w:history="1">
        <w:r w:rsidR="00CF4BCF" w:rsidRPr="00AE7913">
          <w:rPr>
            <w:rStyle w:val="Hyperlink"/>
          </w:rPr>
          <w:t>Proposal 1</w:t>
        </w:r>
        <w:r w:rsidR="00CF4BCF">
          <w:rPr>
            <w:rFonts w:eastAsiaTheme="minorEastAsia" w:cstheme="minorBidi"/>
            <w:b w:val="0"/>
            <w:szCs w:val="22"/>
            <w:lang w:eastAsia="zh-TW"/>
          </w:rPr>
          <w:tab/>
        </w:r>
        <w:r w:rsidR="00CF4BCF" w:rsidRPr="00AE7913">
          <w:rPr>
            <w:rStyle w:val="Hyperlink"/>
          </w:rPr>
          <w:t>For CSI report, configurable BLER targets shall be considered.</w:t>
        </w:r>
      </w:hyperlink>
    </w:p>
    <w:p w14:paraId="03A319DE" w14:textId="09219C6F" w:rsidR="00CF4BCF" w:rsidRDefault="00DF7445">
      <w:pPr>
        <w:pStyle w:val="TOC1"/>
        <w:rPr>
          <w:rFonts w:eastAsiaTheme="minorEastAsia" w:cstheme="minorBidi"/>
          <w:b w:val="0"/>
          <w:szCs w:val="22"/>
          <w:lang w:eastAsia="zh-TW"/>
        </w:rPr>
      </w:pPr>
      <w:hyperlink w:anchor="_Toc16695259" w:history="1">
        <w:r w:rsidR="00CF4BCF" w:rsidRPr="00AE7913">
          <w:rPr>
            <w:rStyle w:val="Hyperlink"/>
          </w:rPr>
          <w:t>Proposal 2</w:t>
        </w:r>
        <w:r w:rsidR="00CF4BCF">
          <w:rPr>
            <w:rFonts w:eastAsiaTheme="minorEastAsia" w:cstheme="minorBidi"/>
            <w:b w:val="0"/>
            <w:szCs w:val="22"/>
            <w:lang w:eastAsia="zh-TW"/>
          </w:rPr>
          <w:tab/>
        </w:r>
        <w:r w:rsidR="00CF4BCF" w:rsidRPr="00AE7913">
          <w:rPr>
            <w:rStyle w:val="Hyperlink"/>
          </w:rPr>
          <w:t>For RACH, configurable MCS tables shall be considered.</w:t>
        </w:r>
      </w:hyperlink>
    </w:p>
    <w:p w14:paraId="23240961" w14:textId="2E06D266" w:rsidR="00CF4BCF" w:rsidRDefault="00DF7445">
      <w:pPr>
        <w:pStyle w:val="TOC1"/>
        <w:rPr>
          <w:rFonts w:eastAsiaTheme="minorEastAsia" w:cstheme="minorBidi"/>
          <w:b w:val="0"/>
          <w:szCs w:val="22"/>
          <w:lang w:eastAsia="zh-TW"/>
        </w:rPr>
      </w:pPr>
      <w:hyperlink w:anchor="_Toc16695260" w:history="1">
        <w:r w:rsidR="00CF4BCF" w:rsidRPr="00AE7913">
          <w:rPr>
            <w:rStyle w:val="Hyperlink"/>
          </w:rPr>
          <w:t>Proposal 3</w:t>
        </w:r>
        <w:r w:rsidR="00CF4BCF">
          <w:rPr>
            <w:rFonts w:eastAsiaTheme="minorEastAsia" w:cstheme="minorBidi"/>
            <w:b w:val="0"/>
            <w:szCs w:val="22"/>
            <w:lang w:eastAsia="zh-TW"/>
          </w:rPr>
          <w:tab/>
        </w:r>
        <w:r w:rsidR="00CF4BCF" w:rsidRPr="00AE7913">
          <w:rPr>
            <w:rStyle w:val="Hyperlink"/>
          </w:rPr>
          <w:t>For CSI report, polarization mismatch on CQI calculation shall be considered.</w:t>
        </w:r>
      </w:hyperlink>
    </w:p>
    <w:p w14:paraId="38889CC4" w14:textId="78042AF6" w:rsidR="00CF4BCF" w:rsidRDefault="00DF7445">
      <w:pPr>
        <w:pStyle w:val="TOC1"/>
        <w:rPr>
          <w:rFonts w:eastAsiaTheme="minorEastAsia" w:cstheme="minorBidi"/>
          <w:b w:val="0"/>
          <w:szCs w:val="22"/>
          <w:lang w:eastAsia="zh-TW"/>
        </w:rPr>
      </w:pPr>
      <w:hyperlink w:anchor="_Toc16695261" w:history="1">
        <w:r w:rsidR="00CF4BCF" w:rsidRPr="00AE7913">
          <w:rPr>
            <w:rStyle w:val="Hyperlink"/>
          </w:rPr>
          <w:t>Proposal 4</w:t>
        </w:r>
        <w:r w:rsidR="00CF4BCF">
          <w:rPr>
            <w:rFonts w:eastAsiaTheme="minorEastAsia" w:cstheme="minorBidi"/>
            <w:b w:val="0"/>
            <w:szCs w:val="22"/>
            <w:lang w:eastAsia="zh-TW"/>
          </w:rPr>
          <w:tab/>
        </w:r>
        <w:r w:rsidR="00CF4BCF" w:rsidRPr="00AE7913">
          <w:rPr>
            <w:rStyle w:val="Hyperlink"/>
          </w:rPr>
          <w:t>For CSI report, specification on the long-term CQI measurement shall be considered.</w:t>
        </w:r>
      </w:hyperlink>
    </w:p>
    <w:p w14:paraId="054FF9B2" w14:textId="61C077D3" w:rsidR="000C6B85" w:rsidRDefault="00DF7445" w:rsidP="000C6B85">
      <w:pPr>
        <w:pStyle w:val="TOC1"/>
      </w:pPr>
      <w:hyperlink w:anchor="_Toc16695262" w:history="1">
        <w:r w:rsidR="00CF4BCF" w:rsidRPr="00AE7913">
          <w:rPr>
            <w:rStyle w:val="Hyperlink"/>
          </w:rPr>
          <w:t>Proposal 5</w:t>
        </w:r>
        <w:r w:rsidR="00CF4BCF">
          <w:rPr>
            <w:rFonts w:eastAsiaTheme="minorEastAsia" w:cstheme="minorBidi"/>
            <w:b w:val="0"/>
            <w:szCs w:val="22"/>
            <w:lang w:eastAsia="zh-TW"/>
          </w:rPr>
          <w:tab/>
        </w:r>
        <w:r w:rsidR="00CF4BCF" w:rsidRPr="00AE7913">
          <w:rPr>
            <w:rStyle w:val="Hyperlink"/>
          </w:rPr>
          <w:t>For L1-mobility, the association between satellite beams and BWPs shall be considered.</w:t>
        </w:r>
      </w:hyperlink>
      <w:r w:rsidR="000C6B85">
        <w:fldChar w:fldCharType="end"/>
      </w:r>
    </w:p>
    <w:p w14:paraId="53C87396" w14:textId="08741B0A" w:rsidR="000B5758" w:rsidRDefault="00FA106B" w:rsidP="00644835">
      <w:pPr>
        <w:pStyle w:val="Heading1"/>
        <w:snapToGrid w:val="0"/>
        <w:jc w:val="both"/>
      </w:pPr>
      <w:r>
        <w:t>Reference</w:t>
      </w:r>
    </w:p>
    <w:bookmarkStart w:id="16" w:name="_Ref9589316"/>
    <w:p w14:paraId="5B3447CD" w14:textId="4311495B" w:rsidR="00D177A4" w:rsidRDefault="00D177A4" w:rsidP="00D177A4">
      <w:pPr>
        <w:pStyle w:val="Reference"/>
      </w:pPr>
      <w:r>
        <w:fldChar w:fldCharType="begin"/>
      </w:r>
      <w:r>
        <w:instrText xml:space="preserve"> HYPERLINK "https://www.3gpp.org/ftp/tsg_ran/WG1_RL1/TSGR1_97/Docs/R1-1906871.zip" </w:instrText>
      </w:r>
      <w:r>
        <w:fldChar w:fldCharType="separate"/>
      </w:r>
      <w:r w:rsidRPr="00E97CDF">
        <w:rPr>
          <w:rStyle w:val="Hyperlink"/>
        </w:rPr>
        <w:t>R1-1906871</w:t>
      </w:r>
      <w:r>
        <w:fldChar w:fldCharType="end"/>
      </w:r>
      <w:r>
        <w:t xml:space="preserve">, </w:t>
      </w:r>
      <w:r w:rsidRPr="00E97CDF">
        <w:t>Discussion on the physical control procedure for NTN</w:t>
      </w:r>
      <w:r>
        <w:t xml:space="preserve">, </w:t>
      </w:r>
      <w:r w:rsidRPr="00E97CDF">
        <w:t>ZTE</w:t>
      </w:r>
      <w:r>
        <w:t xml:space="preserve">, </w:t>
      </w:r>
      <w:r w:rsidRPr="00E97CDF">
        <w:t>Reno, USA, May 2019.</w:t>
      </w:r>
      <w:bookmarkEnd w:id="16"/>
    </w:p>
    <w:bookmarkStart w:id="17" w:name="_Ref9582611"/>
    <w:p w14:paraId="0B60C02D" w14:textId="62BC58F9" w:rsidR="00030062" w:rsidRDefault="00030062" w:rsidP="002A1A42">
      <w:pPr>
        <w:pStyle w:val="Reference"/>
      </w:pPr>
      <w:r>
        <w:fldChar w:fldCharType="begin"/>
      </w:r>
      <w:r>
        <w:instrText xml:space="preserve"> HYPERLINK "https://www.3gpp.org/ftp/tsg_ran/WG1_RL1/TSGR1_97/Docs/R1-1907760.zip" </w:instrText>
      </w:r>
      <w:r>
        <w:fldChar w:fldCharType="separate"/>
      </w:r>
      <w:r w:rsidRPr="00030062">
        <w:rPr>
          <w:rStyle w:val="Hyperlink"/>
        </w:rPr>
        <w:t>R1-1907760</w:t>
      </w:r>
      <w:r>
        <w:fldChar w:fldCharType="end"/>
      </w:r>
      <w:r>
        <w:t xml:space="preserve">, </w:t>
      </w:r>
      <w:r w:rsidR="000C6B85">
        <w:t>FLS</w:t>
      </w:r>
      <w:r w:rsidRPr="00030062">
        <w:t>#2 on physical layer control procedures for NTN</w:t>
      </w:r>
      <w:r>
        <w:t xml:space="preserve">, </w:t>
      </w:r>
      <w:r w:rsidRPr="00030062">
        <w:t>Ericsson</w:t>
      </w:r>
      <w:r>
        <w:t xml:space="preserve">, </w:t>
      </w:r>
      <w:bookmarkStart w:id="18" w:name="OLE_LINK1"/>
      <w:r>
        <w:t>Reno</w:t>
      </w:r>
      <w:r w:rsidRPr="007B731A">
        <w:t xml:space="preserve">, </w:t>
      </w:r>
      <w:r>
        <w:t>USA</w:t>
      </w:r>
      <w:r w:rsidRPr="007B731A">
        <w:t xml:space="preserve">, </w:t>
      </w:r>
      <w:r>
        <w:t>May</w:t>
      </w:r>
      <w:r w:rsidRPr="007B731A">
        <w:t xml:space="preserve"> 2019.</w:t>
      </w:r>
      <w:bookmarkEnd w:id="17"/>
      <w:bookmarkEnd w:id="18"/>
    </w:p>
    <w:bookmarkStart w:id="19" w:name="OLE_LINK10"/>
    <w:bookmarkStart w:id="20" w:name="OLE_LINK11"/>
    <w:bookmarkStart w:id="21" w:name="_Ref9585170"/>
    <w:p w14:paraId="2D2FEA32" w14:textId="4E923A43" w:rsidR="00FB2937" w:rsidRDefault="00A20105" w:rsidP="002A1A42">
      <w:pPr>
        <w:pStyle w:val="Reference"/>
      </w:pPr>
      <w:r>
        <w:fldChar w:fldCharType="begin"/>
      </w:r>
      <w:r w:rsidR="000C6B85">
        <w:instrText>HYPERLINK "https://portal.3gpp.org/desktopmodules/Specifications/SpecificationDetails.aspx?specificationId=3234"</w:instrText>
      </w:r>
      <w:r>
        <w:fldChar w:fldCharType="separate"/>
      </w:r>
      <w:bookmarkEnd w:id="19"/>
      <w:bookmarkEnd w:id="20"/>
      <w:r w:rsidR="000C6B85">
        <w:rPr>
          <w:rStyle w:val="Hyperlink"/>
        </w:rPr>
        <w:t>3GPP TR 38.811</w:t>
      </w:r>
      <w:r>
        <w:fldChar w:fldCharType="end"/>
      </w:r>
      <w:r w:rsidR="00914ACC">
        <w:t xml:space="preserve">, </w:t>
      </w:r>
      <w:r w:rsidR="00914ACC" w:rsidRPr="00914ACC">
        <w:t>Study on New Radio (NR) to support non terrestrial networks</w:t>
      </w:r>
      <w:r w:rsidR="00914ACC">
        <w:t xml:space="preserve">, </w:t>
      </w:r>
      <w:r w:rsidR="00272CD0">
        <w:t>Jun.</w:t>
      </w:r>
      <w:r w:rsidR="00914ACC">
        <w:t xml:space="preserve"> </w:t>
      </w:r>
      <w:r w:rsidR="00914ACC" w:rsidRPr="00914ACC">
        <w:t>2018</w:t>
      </w:r>
      <w:bookmarkEnd w:id="21"/>
      <w:r w:rsidR="00E97CDF">
        <w:t>.</w:t>
      </w:r>
    </w:p>
    <w:bookmarkStart w:id="22" w:name="OLE_LINK12"/>
    <w:bookmarkStart w:id="23" w:name="OLE_LINK13"/>
    <w:bookmarkStart w:id="24" w:name="_Ref9600598"/>
    <w:p w14:paraId="4EB3D291" w14:textId="3F37CBC2" w:rsidR="00B20FEC" w:rsidRDefault="00A20105" w:rsidP="002A1A42">
      <w:pPr>
        <w:pStyle w:val="Reference"/>
      </w:pPr>
      <w:r>
        <w:fldChar w:fldCharType="begin"/>
      </w:r>
      <w:r w:rsidR="000C6B85">
        <w:instrText>HYPERLINK "https://portal.3gpp.org/desktopmodules/Specifications/SpecificationDetails.aspx?specificationId=3525"</w:instrText>
      </w:r>
      <w:r>
        <w:fldChar w:fldCharType="separate"/>
      </w:r>
      <w:bookmarkEnd w:id="22"/>
      <w:bookmarkEnd w:id="23"/>
      <w:r w:rsidR="000C6B85">
        <w:rPr>
          <w:rStyle w:val="Hyperlink"/>
        </w:rPr>
        <w:t>3GPP TR 38.821</w:t>
      </w:r>
      <w:r>
        <w:fldChar w:fldCharType="end"/>
      </w:r>
      <w:r w:rsidR="00B20FEC">
        <w:t xml:space="preserve">, </w:t>
      </w:r>
      <w:r w:rsidR="00B20FEC" w:rsidRPr="00B20FEC">
        <w:t>Solutions for NR to support non-terrestrial networks (NTN)</w:t>
      </w:r>
      <w:r w:rsidR="00B20FEC">
        <w:t xml:space="preserve">, </w:t>
      </w:r>
      <w:r w:rsidR="00272CD0">
        <w:t>Mar.</w:t>
      </w:r>
      <w:r w:rsidR="00B20FEC">
        <w:t xml:space="preserve"> 2019.</w:t>
      </w:r>
      <w:bookmarkEnd w:id="24"/>
    </w:p>
    <w:sectPr w:rsidR="00B20FE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DE949" w14:textId="77777777" w:rsidR="00DF7445" w:rsidRDefault="00DF7445" w:rsidP="0063297B">
      <w:pPr>
        <w:spacing w:after="0"/>
      </w:pPr>
      <w:r>
        <w:separator/>
      </w:r>
    </w:p>
  </w:endnote>
  <w:endnote w:type="continuationSeparator" w:id="0">
    <w:p w14:paraId="37236970" w14:textId="77777777" w:rsidR="00DF7445" w:rsidRDefault="00DF7445" w:rsidP="00632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1FB42" w14:textId="77777777" w:rsidR="00DF7445" w:rsidRDefault="00DF7445" w:rsidP="0063297B">
      <w:pPr>
        <w:spacing w:after="0"/>
      </w:pPr>
      <w:r>
        <w:separator/>
      </w:r>
    </w:p>
  </w:footnote>
  <w:footnote w:type="continuationSeparator" w:id="0">
    <w:p w14:paraId="224E04D8" w14:textId="77777777" w:rsidR="00DF7445" w:rsidRDefault="00DF7445" w:rsidP="00632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36A4B29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B73D10"/>
    <w:multiLevelType w:val="hybridMultilevel"/>
    <w:tmpl w:val="6234D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1A3D74"/>
    <w:multiLevelType w:val="hybridMultilevel"/>
    <w:tmpl w:val="78DE6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F477B0"/>
    <w:multiLevelType w:val="hybridMultilevel"/>
    <w:tmpl w:val="F6EC6E7A"/>
    <w:lvl w:ilvl="0" w:tplc="20D2712C">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456E67"/>
    <w:multiLevelType w:val="hybridMultilevel"/>
    <w:tmpl w:val="209EA066"/>
    <w:lvl w:ilvl="0" w:tplc="04090001">
      <w:start w:val="1"/>
      <w:numFmt w:val="bullet"/>
      <w:lvlText w:val=""/>
      <w:lvlJc w:val="left"/>
      <w:pPr>
        <w:ind w:left="720" w:hanging="360"/>
      </w:pPr>
      <w:rPr>
        <w:rFonts w:ascii="Symbol" w:hAnsi="Symbol" w:hint="default"/>
      </w:rPr>
    </w:lvl>
    <w:lvl w:ilvl="1" w:tplc="5BA678E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A9101C"/>
    <w:multiLevelType w:val="hybridMultilevel"/>
    <w:tmpl w:val="4C945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C9CADB62"/>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7" w15:restartNumberingAfterBreak="0">
    <w:nsid w:val="419C5181"/>
    <w:multiLevelType w:val="hybridMultilevel"/>
    <w:tmpl w:val="1C646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CA165FBA"/>
    <w:lvl w:ilvl="0" w:tplc="BB0C2F6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6814C5"/>
    <w:multiLevelType w:val="hybridMultilevel"/>
    <w:tmpl w:val="13306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48078B"/>
    <w:multiLevelType w:val="hybridMultilevel"/>
    <w:tmpl w:val="067E8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6"/>
  </w:num>
  <w:num w:numId="4">
    <w:abstractNumId w:val="1"/>
  </w:num>
  <w:num w:numId="5">
    <w:abstractNumId w:val="5"/>
  </w:num>
  <w:num w:numId="6">
    <w:abstractNumId w:val="9"/>
  </w:num>
  <w:num w:numId="7">
    <w:abstractNumId w:val="2"/>
  </w:num>
  <w:num w:numId="8">
    <w:abstractNumId w:val="10"/>
  </w:num>
  <w:num w:numId="9">
    <w:abstractNumId w:val="7"/>
  </w:num>
  <w:num w:numId="10">
    <w:abstractNumId w:val="0"/>
  </w:num>
  <w:num w:numId="11">
    <w:abstractNumId w:val="6"/>
  </w:num>
  <w:num w:numId="12">
    <w:abstractNumId w:val="8"/>
  </w:num>
  <w:num w:numId="1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t6gFAO+sxaUtAAAA"/>
  </w:docVars>
  <w:rsids>
    <w:rsidRoot w:val="006A4A78"/>
    <w:rsid w:val="00000FA6"/>
    <w:rsid w:val="00004A2B"/>
    <w:rsid w:val="00004E8F"/>
    <w:rsid w:val="00011505"/>
    <w:rsid w:val="000164F1"/>
    <w:rsid w:val="00030062"/>
    <w:rsid w:val="000305CD"/>
    <w:rsid w:val="0003330B"/>
    <w:rsid w:val="00040844"/>
    <w:rsid w:val="000421CD"/>
    <w:rsid w:val="00043488"/>
    <w:rsid w:val="000436CD"/>
    <w:rsid w:val="000537D6"/>
    <w:rsid w:val="00056312"/>
    <w:rsid w:val="00060B6D"/>
    <w:rsid w:val="00060D85"/>
    <w:rsid w:val="000641E0"/>
    <w:rsid w:val="00065F28"/>
    <w:rsid w:val="0006645F"/>
    <w:rsid w:val="00066BA9"/>
    <w:rsid w:val="000710A5"/>
    <w:rsid w:val="000765E8"/>
    <w:rsid w:val="000877E2"/>
    <w:rsid w:val="00087FF4"/>
    <w:rsid w:val="00090CC3"/>
    <w:rsid w:val="00090D23"/>
    <w:rsid w:val="00092147"/>
    <w:rsid w:val="00092C12"/>
    <w:rsid w:val="000A05A9"/>
    <w:rsid w:val="000A6C7A"/>
    <w:rsid w:val="000A72BB"/>
    <w:rsid w:val="000B11D8"/>
    <w:rsid w:val="000B31C4"/>
    <w:rsid w:val="000B5758"/>
    <w:rsid w:val="000B7A5D"/>
    <w:rsid w:val="000C4A32"/>
    <w:rsid w:val="000C5587"/>
    <w:rsid w:val="000C6B85"/>
    <w:rsid w:val="000D436E"/>
    <w:rsid w:val="000E09B3"/>
    <w:rsid w:val="000E2353"/>
    <w:rsid w:val="000E27E3"/>
    <w:rsid w:val="000F006A"/>
    <w:rsid w:val="000F27B9"/>
    <w:rsid w:val="000F2C86"/>
    <w:rsid w:val="00100FD3"/>
    <w:rsid w:val="00102528"/>
    <w:rsid w:val="001032BE"/>
    <w:rsid w:val="00107F97"/>
    <w:rsid w:val="00120364"/>
    <w:rsid w:val="00121950"/>
    <w:rsid w:val="0012473C"/>
    <w:rsid w:val="001255FC"/>
    <w:rsid w:val="00130D59"/>
    <w:rsid w:val="001343EC"/>
    <w:rsid w:val="001350CC"/>
    <w:rsid w:val="00140508"/>
    <w:rsid w:val="00140D47"/>
    <w:rsid w:val="001411CA"/>
    <w:rsid w:val="00141AC6"/>
    <w:rsid w:val="00142170"/>
    <w:rsid w:val="0014756E"/>
    <w:rsid w:val="00150043"/>
    <w:rsid w:val="00151886"/>
    <w:rsid w:val="00151E0B"/>
    <w:rsid w:val="0015310B"/>
    <w:rsid w:val="00156C58"/>
    <w:rsid w:val="00156C74"/>
    <w:rsid w:val="0015785E"/>
    <w:rsid w:val="001616D8"/>
    <w:rsid w:val="0016342E"/>
    <w:rsid w:val="00164F50"/>
    <w:rsid w:val="00171803"/>
    <w:rsid w:val="00174C28"/>
    <w:rsid w:val="00175DBA"/>
    <w:rsid w:val="0017744C"/>
    <w:rsid w:val="00184890"/>
    <w:rsid w:val="00184BB8"/>
    <w:rsid w:val="00185ACB"/>
    <w:rsid w:val="0019033F"/>
    <w:rsid w:val="00194649"/>
    <w:rsid w:val="001946A6"/>
    <w:rsid w:val="00196E45"/>
    <w:rsid w:val="001974BD"/>
    <w:rsid w:val="001979CF"/>
    <w:rsid w:val="001A2EFA"/>
    <w:rsid w:val="001A5434"/>
    <w:rsid w:val="001B4136"/>
    <w:rsid w:val="001B4DAE"/>
    <w:rsid w:val="001B515B"/>
    <w:rsid w:val="001C04A9"/>
    <w:rsid w:val="001C410A"/>
    <w:rsid w:val="001C58A5"/>
    <w:rsid w:val="001D0914"/>
    <w:rsid w:val="001D4A6B"/>
    <w:rsid w:val="001D542D"/>
    <w:rsid w:val="001D7554"/>
    <w:rsid w:val="001D7D48"/>
    <w:rsid w:val="001E3E19"/>
    <w:rsid w:val="001E52CF"/>
    <w:rsid w:val="001E5E12"/>
    <w:rsid w:val="001F6876"/>
    <w:rsid w:val="002040A5"/>
    <w:rsid w:val="00204ACD"/>
    <w:rsid w:val="00210158"/>
    <w:rsid w:val="00211E96"/>
    <w:rsid w:val="00213ECA"/>
    <w:rsid w:val="0021555A"/>
    <w:rsid w:val="00217B35"/>
    <w:rsid w:val="002241DA"/>
    <w:rsid w:val="00225128"/>
    <w:rsid w:val="00226600"/>
    <w:rsid w:val="002270CB"/>
    <w:rsid w:val="002370AF"/>
    <w:rsid w:val="002409BC"/>
    <w:rsid w:val="00240BDB"/>
    <w:rsid w:val="00244EF7"/>
    <w:rsid w:val="002459CD"/>
    <w:rsid w:val="00251AA6"/>
    <w:rsid w:val="0026147C"/>
    <w:rsid w:val="00265BC6"/>
    <w:rsid w:val="00266699"/>
    <w:rsid w:val="00272612"/>
    <w:rsid w:val="00272CD0"/>
    <w:rsid w:val="002753CB"/>
    <w:rsid w:val="00277ED8"/>
    <w:rsid w:val="0028348F"/>
    <w:rsid w:val="00283B47"/>
    <w:rsid w:val="00283DA5"/>
    <w:rsid w:val="00290D43"/>
    <w:rsid w:val="00291116"/>
    <w:rsid w:val="002920E4"/>
    <w:rsid w:val="00292A1A"/>
    <w:rsid w:val="0029349D"/>
    <w:rsid w:val="002A1292"/>
    <w:rsid w:val="002A1A42"/>
    <w:rsid w:val="002A1C4F"/>
    <w:rsid w:val="002A4692"/>
    <w:rsid w:val="002A48BD"/>
    <w:rsid w:val="002B4821"/>
    <w:rsid w:val="002B6795"/>
    <w:rsid w:val="002C1440"/>
    <w:rsid w:val="002C4EF6"/>
    <w:rsid w:val="002D0A11"/>
    <w:rsid w:val="002D1055"/>
    <w:rsid w:val="002D2ECA"/>
    <w:rsid w:val="002E3D41"/>
    <w:rsid w:val="002E76BC"/>
    <w:rsid w:val="002F1A20"/>
    <w:rsid w:val="002F1BD5"/>
    <w:rsid w:val="002F4CE6"/>
    <w:rsid w:val="00303F1A"/>
    <w:rsid w:val="00306D3F"/>
    <w:rsid w:val="00306FC1"/>
    <w:rsid w:val="003102DB"/>
    <w:rsid w:val="00311FC9"/>
    <w:rsid w:val="0031408C"/>
    <w:rsid w:val="00315985"/>
    <w:rsid w:val="003211BF"/>
    <w:rsid w:val="003267D0"/>
    <w:rsid w:val="00332483"/>
    <w:rsid w:val="00337856"/>
    <w:rsid w:val="00337EC7"/>
    <w:rsid w:val="00340930"/>
    <w:rsid w:val="00340A5E"/>
    <w:rsid w:val="00340E36"/>
    <w:rsid w:val="00346ED1"/>
    <w:rsid w:val="003503FC"/>
    <w:rsid w:val="00357483"/>
    <w:rsid w:val="0036258E"/>
    <w:rsid w:val="00362A8A"/>
    <w:rsid w:val="00362BCF"/>
    <w:rsid w:val="00370FF3"/>
    <w:rsid w:val="00372381"/>
    <w:rsid w:val="00375A17"/>
    <w:rsid w:val="00377537"/>
    <w:rsid w:val="0038162C"/>
    <w:rsid w:val="00384E37"/>
    <w:rsid w:val="003850CB"/>
    <w:rsid w:val="00387A01"/>
    <w:rsid w:val="0039336A"/>
    <w:rsid w:val="003A0843"/>
    <w:rsid w:val="003A244E"/>
    <w:rsid w:val="003A527A"/>
    <w:rsid w:val="003A666D"/>
    <w:rsid w:val="003A6CFF"/>
    <w:rsid w:val="003B107F"/>
    <w:rsid w:val="003B70ED"/>
    <w:rsid w:val="003C13D5"/>
    <w:rsid w:val="003C1C03"/>
    <w:rsid w:val="003C26EB"/>
    <w:rsid w:val="003D035E"/>
    <w:rsid w:val="003D20CC"/>
    <w:rsid w:val="003D307F"/>
    <w:rsid w:val="003D30D6"/>
    <w:rsid w:val="003E009E"/>
    <w:rsid w:val="003E01BB"/>
    <w:rsid w:val="003E0F8F"/>
    <w:rsid w:val="003E49D6"/>
    <w:rsid w:val="003E54CD"/>
    <w:rsid w:val="003F4247"/>
    <w:rsid w:val="00405441"/>
    <w:rsid w:val="004060F9"/>
    <w:rsid w:val="00410971"/>
    <w:rsid w:val="0041117A"/>
    <w:rsid w:val="00413D5C"/>
    <w:rsid w:val="004171CF"/>
    <w:rsid w:val="00420264"/>
    <w:rsid w:val="00425C93"/>
    <w:rsid w:val="0042691F"/>
    <w:rsid w:val="0042740D"/>
    <w:rsid w:val="00427437"/>
    <w:rsid w:val="00427AA8"/>
    <w:rsid w:val="00431CDC"/>
    <w:rsid w:val="00437745"/>
    <w:rsid w:val="004439C8"/>
    <w:rsid w:val="00444A3E"/>
    <w:rsid w:val="00445A29"/>
    <w:rsid w:val="00447C4B"/>
    <w:rsid w:val="00454E41"/>
    <w:rsid w:val="00456894"/>
    <w:rsid w:val="0046028C"/>
    <w:rsid w:val="00460688"/>
    <w:rsid w:val="00460C5A"/>
    <w:rsid w:val="00464515"/>
    <w:rsid w:val="004660F0"/>
    <w:rsid w:val="00466A0B"/>
    <w:rsid w:val="00466A14"/>
    <w:rsid w:val="00474D26"/>
    <w:rsid w:val="00475340"/>
    <w:rsid w:val="0047641F"/>
    <w:rsid w:val="00480574"/>
    <w:rsid w:val="00482E98"/>
    <w:rsid w:val="004964CD"/>
    <w:rsid w:val="0049746B"/>
    <w:rsid w:val="004A0649"/>
    <w:rsid w:val="004A067C"/>
    <w:rsid w:val="004A40FE"/>
    <w:rsid w:val="004B2DB2"/>
    <w:rsid w:val="004B3B5E"/>
    <w:rsid w:val="004B663B"/>
    <w:rsid w:val="004B72F3"/>
    <w:rsid w:val="004C2EBF"/>
    <w:rsid w:val="004C688C"/>
    <w:rsid w:val="004D2306"/>
    <w:rsid w:val="004D4E24"/>
    <w:rsid w:val="004D5B34"/>
    <w:rsid w:val="004D5E5A"/>
    <w:rsid w:val="004D6280"/>
    <w:rsid w:val="004D7A67"/>
    <w:rsid w:val="004E115A"/>
    <w:rsid w:val="004E3848"/>
    <w:rsid w:val="004E61D7"/>
    <w:rsid w:val="004F1E2B"/>
    <w:rsid w:val="004F41B5"/>
    <w:rsid w:val="004F5591"/>
    <w:rsid w:val="00500A75"/>
    <w:rsid w:val="00503526"/>
    <w:rsid w:val="00512877"/>
    <w:rsid w:val="00512ADA"/>
    <w:rsid w:val="005225DB"/>
    <w:rsid w:val="00522BF1"/>
    <w:rsid w:val="00533B6B"/>
    <w:rsid w:val="00533C06"/>
    <w:rsid w:val="00534496"/>
    <w:rsid w:val="00535AFB"/>
    <w:rsid w:val="00540DA1"/>
    <w:rsid w:val="005514A9"/>
    <w:rsid w:val="00552805"/>
    <w:rsid w:val="0055286A"/>
    <w:rsid w:val="00556EA5"/>
    <w:rsid w:val="00556F33"/>
    <w:rsid w:val="00557C1B"/>
    <w:rsid w:val="005643DD"/>
    <w:rsid w:val="00565F57"/>
    <w:rsid w:val="005718A0"/>
    <w:rsid w:val="0057520F"/>
    <w:rsid w:val="00575D10"/>
    <w:rsid w:val="005777C2"/>
    <w:rsid w:val="005779ED"/>
    <w:rsid w:val="00583232"/>
    <w:rsid w:val="00587BF9"/>
    <w:rsid w:val="00595E68"/>
    <w:rsid w:val="00597063"/>
    <w:rsid w:val="0059772B"/>
    <w:rsid w:val="005A2F7F"/>
    <w:rsid w:val="005A3609"/>
    <w:rsid w:val="005A3BA9"/>
    <w:rsid w:val="005A470C"/>
    <w:rsid w:val="005B3BEC"/>
    <w:rsid w:val="005B48F8"/>
    <w:rsid w:val="005B682D"/>
    <w:rsid w:val="005B7F3C"/>
    <w:rsid w:val="005C11C5"/>
    <w:rsid w:val="005C3210"/>
    <w:rsid w:val="005D2A0F"/>
    <w:rsid w:val="005D31EF"/>
    <w:rsid w:val="005D4952"/>
    <w:rsid w:val="005D6242"/>
    <w:rsid w:val="005D701E"/>
    <w:rsid w:val="005E1F4B"/>
    <w:rsid w:val="005E507B"/>
    <w:rsid w:val="005E5795"/>
    <w:rsid w:val="005E60B7"/>
    <w:rsid w:val="005E645F"/>
    <w:rsid w:val="005E7CBA"/>
    <w:rsid w:val="005F5B9E"/>
    <w:rsid w:val="005F757D"/>
    <w:rsid w:val="005F7AD0"/>
    <w:rsid w:val="006021F8"/>
    <w:rsid w:val="00606E76"/>
    <w:rsid w:val="00607037"/>
    <w:rsid w:val="00607499"/>
    <w:rsid w:val="0060771B"/>
    <w:rsid w:val="00615999"/>
    <w:rsid w:val="006226AC"/>
    <w:rsid w:val="0062461E"/>
    <w:rsid w:val="006257A0"/>
    <w:rsid w:val="006300A6"/>
    <w:rsid w:val="0063297B"/>
    <w:rsid w:val="006332F3"/>
    <w:rsid w:val="00633C8D"/>
    <w:rsid w:val="006402AA"/>
    <w:rsid w:val="00641823"/>
    <w:rsid w:val="00642466"/>
    <w:rsid w:val="00642B9C"/>
    <w:rsid w:val="00643516"/>
    <w:rsid w:val="00643C25"/>
    <w:rsid w:val="00644835"/>
    <w:rsid w:val="00645202"/>
    <w:rsid w:val="00650F0D"/>
    <w:rsid w:val="00651F58"/>
    <w:rsid w:val="00662F9A"/>
    <w:rsid w:val="00662FC7"/>
    <w:rsid w:val="00663591"/>
    <w:rsid w:val="006714EF"/>
    <w:rsid w:val="00680882"/>
    <w:rsid w:val="00681C40"/>
    <w:rsid w:val="006832B4"/>
    <w:rsid w:val="00683624"/>
    <w:rsid w:val="006873C3"/>
    <w:rsid w:val="00691992"/>
    <w:rsid w:val="00692027"/>
    <w:rsid w:val="006948BE"/>
    <w:rsid w:val="006A0741"/>
    <w:rsid w:val="006A4A78"/>
    <w:rsid w:val="006A65F5"/>
    <w:rsid w:val="006A6ECE"/>
    <w:rsid w:val="006B13F0"/>
    <w:rsid w:val="006B14E1"/>
    <w:rsid w:val="006B38AE"/>
    <w:rsid w:val="006B40C4"/>
    <w:rsid w:val="006B76D5"/>
    <w:rsid w:val="006C30FE"/>
    <w:rsid w:val="006C378D"/>
    <w:rsid w:val="006C627A"/>
    <w:rsid w:val="006E1FCD"/>
    <w:rsid w:val="006F2A6B"/>
    <w:rsid w:val="007041E8"/>
    <w:rsid w:val="007112C0"/>
    <w:rsid w:val="00714DA9"/>
    <w:rsid w:val="00721143"/>
    <w:rsid w:val="007213CA"/>
    <w:rsid w:val="007220C1"/>
    <w:rsid w:val="00723DB2"/>
    <w:rsid w:val="00724BA4"/>
    <w:rsid w:val="007307A2"/>
    <w:rsid w:val="00733F14"/>
    <w:rsid w:val="0073595F"/>
    <w:rsid w:val="00740B66"/>
    <w:rsid w:val="00752DE6"/>
    <w:rsid w:val="00763F72"/>
    <w:rsid w:val="00765DD3"/>
    <w:rsid w:val="00771943"/>
    <w:rsid w:val="00780AAA"/>
    <w:rsid w:val="00782615"/>
    <w:rsid w:val="007848ED"/>
    <w:rsid w:val="00787F80"/>
    <w:rsid w:val="00790E9B"/>
    <w:rsid w:val="007917DE"/>
    <w:rsid w:val="0079355F"/>
    <w:rsid w:val="007A3170"/>
    <w:rsid w:val="007A345D"/>
    <w:rsid w:val="007A78CA"/>
    <w:rsid w:val="007B731A"/>
    <w:rsid w:val="007C0EB9"/>
    <w:rsid w:val="007C10BC"/>
    <w:rsid w:val="007C1338"/>
    <w:rsid w:val="007C28B2"/>
    <w:rsid w:val="007C5488"/>
    <w:rsid w:val="007C6E47"/>
    <w:rsid w:val="007C7D76"/>
    <w:rsid w:val="007D05E6"/>
    <w:rsid w:val="007D598C"/>
    <w:rsid w:val="007D653E"/>
    <w:rsid w:val="007E038D"/>
    <w:rsid w:val="007E1F66"/>
    <w:rsid w:val="007E6F39"/>
    <w:rsid w:val="007E7AC0"/>
    <w:rsid w:val="007F4CD9"/>
    <w:rsid w:val="00803236"/>
    <w:rsid w:val="00804A43"/>
    <w:rsid w:val="00812BAB"/>
    <w:rsid w:val="00816F22"/>
    <w:rsid w:val="00824618"/>
    <w:rsid w:val="0082650D"/>
    <w:rsid w:val="00827636"/>
    <w:rsid w:val="00827F31"/>
    <w:rsid w:val="00836E59"/>
    <w:rsid w:val="0084551F"/>
    <w:rsid w:val="00852937"/>
    <w:rsid w:val="00856A51"/>
    <w:rsid w:val="008572E2"/>
    <w:rsid w:val="00863D40"/>
    <w:rsid w:val="008673C9"/>
    <w:rsid w:val="00870A95"/>
    <w:rsid w:val="00871398"/>
    <w:rsid w:val="00871C51"/>
    <w:rsid w:val="00874858"/>
    <w:rsid w:val="008817AD"/>
    <w:rsid w:val="0088423C"/>
    <w:rsid w:val="008860DF"/>
    <w:rsid w:val="00886DB9"/>
    <w:rsid w:val="00887A0C"/>
    <w:rsid w:val="00897341"/>
    <w:rsid w:val="008A2480"/>
    <w:rsid w:val="008A3669"/>
    <w:rsid w:val="008B0A71"/>
    <w:rsid w:val="008B40E1"/>
    <w:rsid w:val="008B461D"/>
    <w:rsid w:val="008C23D2"/>
    <w:rsid w:val="008C3DDD"/>
    <w:rsid w:val="008C6885"/>
    <w:rsid w:val="008D0926"/>
    <w:rsid w:val="008D2612"/>
    <w:rsid w:val="008D361B"/>
    <w:rsid w:val="008D36AE"/>
    <w:rsid w:val="008E0893"/>
    <w:rsid w:val="008E1D9C"/>
    <w:rsid w:val="008E37AF"/>
    <w:rsid w:val="008E437B"/>
    <w:rsid w:val="008E461D"/>
    <w:rsid w:val="008E622F"/>
    <w:rsid w:val="008F0C94"/>
    <w:rsid w:val="008F104A"/>
    <w:rsid w:val="008F24E5"/>
    <w:rsid w:val="008F382E"/>
    <w:rsid w:val="008F39AD"/>
    <w:rsid w:val="008F4541"/>
    <w:rsid w:val="00901407"/>
    <w:rsid w:val="009026AE"/>
    <w:rsid w:val="00904FB9"/>
    <w:rsid w:val="00907E2F"/>
    <w:rsid w:val="00907FA2"/>
    <w:rsid w:val="00914ACC"/>
    <w:rsid w:val="00916AD7"/>
    <w:rsid w:val="00917188"/>
    <w:rsid w:val="009326BD"/>
    <w:rsid w:val="00932935"/>
    <w:rsid w:val="009418C1"/>
    <w:rsid w:val="009445D8"/>
    <w:rsid w:val="00951C9E"/>
    <w:rsid w:val="00955EBD"/>
    <w:rsid w:val="009614D3"/>
    <w:rsid w:val="009660A4"/>
    <w:rsid w:val="00981EAC"/>
    <w:rsid w:val="00986583"/>
    <w:rsid w:val="00986A2B"/>
    <w:rsid w:val="0098759C"/>
    <w:rsid w:val="009927C6"/>
    <w:rsid w:val="00992976"/>
    <w:rsid w:val="009A24C2"/>
    <w:rsid w:val="009A3179"/>
    <w:rsid w:val="009A7AA0"/>
    <w:rsid w:val="009B2A8D"/>
    <w:rsid w:val="009B7587"/>
    <w:rsid w:val="009C1561"/>
    <w:rsid w:val="009C2961"/>
    <w:rsid w:val="009C2AD3"/>
    <w:rsid w:val="009C5F1A"/>
    <w:rsid w:val="009D00B9"/>
    <w:rsid w:val="009D0A3E"/>
    <w:rsid w:val="009D112D"/>
    <w:rsid w:val="009D13CA"/>
    <w:rsid w:val="009D3402"/>
    <w:rsid w:val="009E0141"/>
    <w:rsid w:val="009E0CE5"/>
    <w:rsid w:val="009E0E99"/>
    <w:rsid w:val="009E1AC6"/>
    <w:rsid w:val="009E4823"/>
    <w:rsid w:val="009F0A8A"/>
    <w:rsid w:val="009F1C2E"/>
    <w:rsid w:val="009F5133"/>
    <w:rsid w:val="009F526A"/>
    <w:rsid w:val="00A0019F"/>
    <w:rsid w:val="00A04811"/>
    <w:rsid w:val="00A04F94"/>
    <w:rsid w:val="00A06780"/>
    <w:rsid w:val="00A1623E"/>
    <w:rsid w:val="00A164FC"/>
    <w:rsid w:val="00A20105"/>
    <w:rsid w:val="00A23275"/>
    <w:rsid w:val="00A24D74"/>
    <w:rsid w:val="00A308EA"/>
    <w:rsid w:val="00A33ACF"/>
    <w:rsid w:val="00A34A8B"/>
    <w:rsid w:val="00A4049F"/>
    <w:rsid w:val="00A43B24"/>
    <w:rsid w:val="00A52363"/>
    <w:rsid w:val="00A5352C"/>
    <w:rsid w:val="00A558B4"/>
    <w:rsid w:val="00A573D3"/>
    <w:rsid w:val="00A62ED4"/>
    <w:rsid w:val="00A65475"/>
    <w:rsid w:val="00A84468"/>
    <w:rsid w:val="00A96C13"/>
    <w:rsid w:val="00AA1DA2"/>
    <w:rsid w:val="00AA45AA"/>
    <w:rsid w:val="00AA609F"/>
    <w:rsid w:val="00AA710B"/>
    <w:rsid w:val="00AB4425"/>
    <w:rsid w:val="00AB6061"/>
    <w:rsid w:val="00AB64EA"/>
    <w:rsid w:val="00AB6864"/>
    <w:rsid w:val="00AB707C"/>
    <w:rsid w:val="00AC34B6"/>
    <w:rsid w:val="00AC5B84"/>
    <w:rsid w:val="00AC6BDA"/>
    <w:rsid w:val="00AD0E01"/>
    <w:rsid w:val="00AD1374"/>
    <w:rsid w:val="00AD23D4"/>
    <w:rsid w:val="00AD3910"/>
    <w:rsid w:val="00AD778F"/>
    <w:rsid w:val="00AE5E45"/>
    <w:rsid w:val="00AE6B31"/>
    <w:rsid w:val="00AF3589"/>
    <w:rsid w:val="00AF4BC0"/>
    <w:rsid w:val="00AF5CB8"/>
    <w:rsid w:val="00AF6F22"/>
    <w:rsid w:val="00B0014B"/>
    <w:rsid w:val="00B00928"/>
    <w:rsid w:val="00B02737"/>
    <w:rsid w:val="00B04D78"/>
    <w:rsid w:val="00B06526"/>
    <w:rsid w:val="00B065E2"/>
    <w:rsid w:val="00B06705"/>
    <w:rsid w:val="00B10DAE"/>
    <w:rsid w:val="00B12B17"/>
    <w:rsid w:val="00B20FEC"/>
    <w:rsid w:val="00B2230B"/>
    <w:rsid w:val="00B227C6"/>
    <w:rsid w:val="00B238C0"/>
    <w:rsid w:val="00B26F33"/>
    <w:rsid w:val="00B31BAD"/>
    <w:rsid w:val="00B32BAA"/>
    <w:rsid w:val="00B33891"/>
    <w:rsid w:val="00B35EB1"/>
    <w:rsid w:val="00B35F3E"/>
    <w:rsid w:val="00B405DB"/>
    <w:rsid w:val="00B41E37"/>
    <w:rsid w:val="00B446D3"/>
    <w:rsid w:val="00B46003"/>
    <w:rsid w:val="00B47132"/>
    <w:rsid w:val="00B475E8"/>
    <w:rsid w:val="00B50F4F"/>
    <w:rsid w:val="00B56D23"/>
    <w:rsid w:val="00B577F7"/>
    <w:rsid w:val="00B60004"/>
    <w:rsid w:val="00B63501"/>
    <w:rsid w:val="00B7161A"/>
    <w:rsid w:val="00B74A82"/>
    <w:rsid w:val="00B77646"/>
    <w:rsid w:val="00B80882"/>
    <w:rsid w:val="00B85C4E"/>
    <w:rsid w:val="00B926CE"/>
    <w:rsid w:val="00B928C4"/>
    <w:rsid w:val="00B92E0B"/>
    <w:rsid w:val="00B94907"/>
    <w:rsid w:val="00BA181B"/>
    <w:rsid w:val="00BA6154"/>
    <w:rsid w:val="00BA7380"/>
    <w:rsid w:val="00BB0155"/>
    <w:rsid w:val="00BB36D3"/>
    <w:rsid w:val="00BB69A0"/>
    <w:rsid w:val="00BC039A"/>
    <w:rsid w:val="00BC0ACC"/>
    <w:rsid w:val="00BC23CB"/>
    <w:rsid w:val="00BC2778"/>
    <w:rsid w:val="00BC5100"/>
    <w:rsid w:val="00BC5EAD"/>
    <w:rsid w:val="00BC6AA0"/>
    <w:rsid w:val="00BD421B"/>
    <w:rsid w:val="00BD6CB4"/>
    <w:rsid w:val="00BD7926"/>
    <w:rsid w:val="00BE29AC"/>
    <w:rsid w:val="00BE72E3"/>
    <w:rsid w:val="00BF1025"/>
    <w:rsid w:val="00BF176B"/>
    <w:rsid w:val="00BF2A10"/>
    <w:rsid w:val="00C04FDA"/>
    <w:rsid w:val="00C061B8"/>
    <w:rsid w:val="00C10CFF"/>
    <w:rsid w:val="00C12179"/>
    <w:rsid w:val="00C12B3A"/>
    <w:rsid w:val="00C144FF"/>
    <w:rsid w:val="00C14A92"/>
    <w:rsid w:val="00C1663D"/>
    <w:rsid w:val="00C20004"/>
    <w:rsid w:val="00C218FC"/>
    <w:rsid w:val="00C25D55"/>
    <w:rsid w:val="00C272BD"/>
    <w:rsid w:val="00C37D56"/>
    <w:rsid w:val="00C41981"/>
    <w:rsid w:val="00C43099"/>
    <w:rsid w:val="00C4314A"/>
    <w:rsid w:val="00C52F31"/>
    <w:rsid w:val="00C5503B"/>
    <w:rsid w:val="00C61368"/>
    <w:rsid w:val="00C61BE4"/>
    <w:rsid w:val="00C73FCA"/>
    <w:rsid w:val="00C7798F"/>
    <w:rsid w:val="00C77EE0"/>
    <w:rsid w:val="00C83581"/>
    <w:rsid w:val="00C84650"/>
    <w:rsid w:val="00C86D97"/>
    <w:rsid w:val="00C9043D"/>
    <w:rsid w:val="00C92BFE"/>
    <w:rsid w:val="00C94E38"/>
    <w:rsid w:val="00C96D3E"/>
    <w:rsid w:val="00CA2A35"/>
    <w:rsid w:val="00CA4248"/>
    <w:rsid w:val="00CA6D68"/>
    <w:rsid w:val="00CB001F"/>
    <w:rsid w:val="00CB245F"/>
    <w:rsid w:val="00CB7FD6"/>
    <w:rsid w:val="00CC278A"/>
    <w:rsid w:val="00CC2862"/>
    <w:rsid w:val="00CC5CBC"/>
    <w:rsid w:val="00CC6AC9"/>
    <w:rsid w:val="00CD458D"/>
    <w:rsid w:val="00CE7762"/>
    <w:rsid w:val="00CF0907"/>
    <w:rsid w:val="00CF2030"/>
    <w:rsid w:val="00CF211D"/>
    <w:rsid w:val="00CF2D92"/>
    <w:rsid w:val="00CF4BCF"/>
    <w:rsid w:val="00D02527"/>
    <w:rsid w:val="00D02BEF"/>
    <w:rsid w:val="00D15BA4"/>
    <w:rsid w:val="00D1777F"/>
    <w:rsid w:val="00D177A4"/>
    <w:rsid w:val="00D17FAE"/>
    <w:rsid w:val="00D20DF0"/>
    <w:rsid w:val="00D21500"/>
    <w:rsid w:val="00D257A5"/>
    <w:rsid w:val="00D27775"/>
    <w:rsid w:val="00D40635"/>
    <w:rsid w:val="00D41594"/>
    <w:rsid w:val="00D415FF"/>
    <w:rsid w:val="00D470C1"/>
    <w:rsid w:val="00D51E0E"/>
    <w:rsid w:val="00D5268F"/>
    <w:rsid w:val="00D54EBB"/>
    <w:rsid w:val="00D54F1F"/>
    <w:rsid w:val="00D55BC8"/>
    <w:rsid w:val="00D57DCD"/>
    <w:rsid w:val="00D626FF"/>
    <w:rsid w:val="00D64898"/>
    <w:rsid w:val="00D65109"/>
    <w:rsid w:val="00D700A8"/>
    <w:rsid w:val="00D73D3B"/>
    <w:rsid w:val="00D74486"/>
    <w:rsid w:val="00D75E1C"/>
    <w:rsid w:val="00D76118"/>
    <w:rsid w:val="00D7638D"/>
    <w:rsid w:val="00D82662"/>
    <w:rsid w:val="00D850A1"/>
    <w:rsid w:val="00D8726F"/>
    <w:rsid w:val="00D91E7F"/>
    <w:rsid w:val="00D92516"/>
    <w:rsid w:val="00D9451A"/>
    <w:rsid w:val="00D9534A"/>
    <w:rsid w:val="00D972CE"/>
    <w:rsid w:val="00DA2FD2"/>
    <w:rsid w:val="00DA6A25"/>
    <w:rsid w:val="00DA764B"/>
    <w:rsid w:val="00DA77FC"/>
    <w:rsid w:val="00DB5F21"/>
    <w:rsid w:val="00DC14DF"/>
    <w:rsid w:val="00DC336B"/>
    <w:rsid w:val="00DC5706"/>
    <w:rsid w:val="00DC7068"/>
    <w:rsid w:val="00DD076F"/>
    <w:rsid w:val="00DE3465"/>
    <w:rsid w:val="00DF331F"/>
    <w:rsid w:val="00DF7445"/>
    <w:rsid w:val="00E04003"/>
    <w:rsid w:val="00E07CFA"/>
    <w:rsid w:val="00E1317B"/>
    <w:rsid w:val="00E13407"/>
    <w:rsid w:val="00E2171A"/>
    <w:rsid w:val="00E21921"/>
    <w:rsid w:val="00E230C0"/>
    <w:rsid w:val="00E25594"/>
    <w:rsid w:val="00E36BC9"/>
    <w:rsid w:val="00E40273"/>
    <w:rsid w:val="00E40EF5"/>
    <w:rsid w:val="00E42568"/>
    <w:rsid w:val="00E426A3"/>
    <w:rsid w:val="00E43BA4"/>
    <w:rsid w:val="00E47D24"/>
    <w:rsid w:val="00E510BC"/>
    <w:rsid w:val="00E65ED1"/>
    <w:rsid w:val="00E6785D"/>
    <w:rsid w:val="00E70C2D"/>
    <w:rsid w:val="00E71753"/>
    <w:rsid w:val="00E75AC4"/>
    <w:rsid w:val="00E76AF6"/>
    <w:rsid w:val="00E80A90"/>
    <w:rsid w:val="00E84CCD"/>
    <w:rsid w:val="00E86B31"/>
    <w:rsid w:val="00E9215C"/>
    <w:rsid w:val="00E9264F"/>
    <w:rsid w:val="00E966F4"/>
    <w:rsid w:val="00E967E7"/>
    <w:rsid w:val="00E96865"/>
    <w:rsid w:val="00E97CDF"/>
    <w:rsid w:val="00EB1B13"/>
    <w:rsid w:val="00EB1FC2"/>
    <w:rsid w:val="00EB62A6"/>
    <w:rsid w:val="00EB70FE"/>
    <w:rsid w:val="00EC3B08"/>
    <w:rsid w:val="00EC4EFD"/>
    <w:rsid w:val="00EC6AE5"/>
    <w:rsid w:val="00EC7895"/>
    <w:rsid w:val="00ED71B9"/>
    <w:rsid w:val="00ED7BAA"/>
    <w:rsid w:val="00F0605A"/>
    <w:rsid w:val="00F1040A"/>
    <w:rsid w:val="00F1336B"/>
    <w:rsid w:val="00F176E3"/>
    <w:rsid w:val="00F24F52"/>
    <w:rsid w:val="00F25712"/>
    <w:rsid w:val="00F32465"/>
    <w:rsid w:val="00F33C17"/>
    <w:rsid w:val="00F35B86"/>
    <w:rsid w:val="00F41C51"/>
    <w:rsid w:val="00F43C17"/>
    <w:rsid w:val="00F45971"/>
    <w:rsid w:val="00F469EC"/>
    <w:rsid w:val="00F54FD5"/>
    <w:rsid w:val="00F6206C"/>
    <w:rsid w:val="00F62F66"/>
    <w:rsid w:val="00F6347A"/>
    <w:rsid w:val="00F63EBC"/>
    <w:rsid w:val="00F63F4F"/>
    <w:rsid w:val="00F648E5"/>
    <w:rsid w:val="00F66954"/>
    <w:rsid w:val="00F70090"/>
    <w:rsid w:val="00F74F42"/>
    <w:rsid w:val="00F77B6B"/>
    <w:rsid w:val="00F83858"/>
    <w:rsid w:val="00F83AE5"/>
    <w:rsid w:val="00F8564D"/>
    <w:rsid w:val="00F856C1"/>
    <w:rsid w:val="00F87104"/>
    <w:rsid w:val="00F904CA"/>
    <w:rsid w:val="00F926B5"/>
    <w:rsid w:val="00F92C97"/>
    <w:rsid w:val="00F96E93"/>
    <w:rsid w:val="00FA106B"/>
    <w:rsid w:val="00FA25E3"/>
    <w:rsid w:val="00FA3991"/>
    <w:rsid w:val="00FA5BED"/>
    <w:rsid w:val="00FA791D"/>
    <w:rsid w:val="00FB2937"/>
    <w:rsid w:val="00FB591D"/>
    <w:rsid w:val="00FB5F26"/>
    <w:rsid w:val="00FB683E"/>
    <w:rsid w:val="00FC0379"/>
    <w:rsid w:val="00FC0ED6"/>
    <w:rsid w:val="00FC2A5B"/>
    <w:rsid w:val="00FC5E97"/>
    <w:rsid w:val="00FD2F86"/>
    <w:rsid w:val="00FD3D1D"/>
    <w:rsid w:val="00FD5810"/>
    <w:rsid w:val="00FD608F"/>
    <w:rsid w:val="00FD6A07"/>
    <w:rsid w:val="00FE2728"/>
    <w:rsid w:val="00FE5034"/>
    <w:rsid w:val="00FE63AA"/>
    <w:rsid w:val="00FE76DD"/>
    <w:rsid w:val="00FE7859"/>
    <w:rsid w:val="00FF45F4"/>
    <w:rsid w:val="00FF52BD"/>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A723DAF0-15D3-488E-B3BD-A164DE2E1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64D"/>
    <w:pPr>
      <w:overflowPunct w:val="0"/>
      <w:autoSpaceDE w:val="0"/>
      <w:autoSpaceDN w:val="0"/>
      <w:adjustRightInd w:val="0"/>
      <w:spacing w:after="120" w:line="240" w:lineRule="auto"/>
      <w:jc w:val="both"/>
      <w:textAlignment w:val="baseline"/>
    </w:pPr>
    <w:rPr>
      <w:szCs w:val="20"/>
      <w:lang w:val="en-GB" w:eastAsia="zh-CN"/>
    </w:rPr>
  </w:style>
  <w:style w:type="paragraph" w:styleId="Heading1">
    <w:name w:val="heading 1"/>
    <w:aliases w:val="h1,h11,h12,h13,h14,h15,h16,h17,h111,h121,h131,h141,h151,h161,h18,h112,h122,h132,h142,h152,h162,h19,h113,h123,h133,h143,h153,h163,H1,app heading 1,l1,Memo Heading 1,Heading 1_a"/>
    <w:next w:val="Normal"/>
    <w:link w:val="Heading1Char"/>
    <w:uiPriority w:val="9"/>
    <w:qFormat/>
    <w:rsid w:val="00F8564D"/>
    <w:pPr>
      <w:keepNext/>
      <w:keepLines/>
      <w:numPr>
        <w:numId w:val="1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F8564D"/>
    <w:pPr>
      <w:numPr>
        <w:ilvl w:val="1"/>
      </w:numPr>
      <w:pBdr>
        <w:top w:val="none" w:sz="0" w:space="0" w:color="auto"/>
      </w:pBdr>
      <w:spacing w:before="180"/>
      <w:outlineLvl w:val="1"/>
    </w:pPr>
    <w:rPr>
      <w:sz w:val="28"/>
      <w:szCs w:val="32"/>
    </w:rPr>
  </w:style>
  <w:style w:type="paragraph" w:styleId="Heading3">
    <w:name w:val="heading 3"/>
    <w:aliases w:val="H3,h3"/>
    <w:basedOn w:val="Heading2"/>
    <w:next w:val="Normal"/>
    <w:link w:val="Heading3Char"/>
    <w:qFormat/>
    <w:rsid w:val="00F8564D"/>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
    <w:basedOn w:val="Heading3"/>
    <w:next w:val="Normal"/>
    <w:link w:val="Heading4Char"/>
    <w:qFormat/>
    <w:rsid w:val="00F8564D"/>
    <w:pPr>
      <w:numPr>
        <w:ilvl w:val="3"/>
      </w:numPr>
      <w:outlineLvl w:val="3"/>
    </w:pPr>
    <w:rPr>
      <w:szCs w:val="24"/>
    </w:rPr>
  </w:style>
  <w:style w:type="paragraph" w:styleId="Heading5">
    <w:name w:val="heading 5"/>
    <w:aliases w:val="h5,Heading5"/>
    <w:basedOn w:val="Heading4"/>
    <w:next w:val="Normal"/>
    <w:link w:val="Heading5Char"/>
    <w:qFormat/>
    <w:rsid w:val="00F8564D"/>
    <w:pPr>
      <w:numPr>
        <w:ilvl w:val="4"/>
      </w:numPr>
      <w:outlineLvl w:val="4"/>
    </w:pPr>
    <w:rPr>
      <w:sz w:val="22"/>
      <w:szCs w:val="22"/>
    </w:rPr>
  </w:style>
  <w:style w:type="paragraph" w:styleId="Heading6">
    <w:name w:val="heading 6"/>
    <w:aliases w:val="h6"/>
    <w:basedOn w:val="Normal"/>
    <w:next w:val="Normal"/>
    <w:link w:val="Heading6Char"/>
    <w:qFormat/>
    <w:rsid w:val="00F8564D"/>
    <w:pPr>
      <w:keepNext/>
      <w:keepLines/>
      <w:numPr>
        <w:ilvl w:val="5"/>
        <w:numId w:val="10"/>
      </w:numPr>
      <w:spacing w:before="120"/>
      <w:outlineLvl w:val="5"/>
    </w:pPr>
    <w:rPr>
      <w:rFonts w:eastAsiaTheme="majorEastAsia" w:cs="Arial"/>
      <w:sz w:val="20"/>
    </w:rPr>
  </w:style>
  <w:style w:type="paragraph" w:styleId="Heading7">
    <w:name w:val="heading 7"/>
    <w:basedOn w:val="Normal"/>
    <w:next w:val="Normal"/>
    <w:link w:val="Heading7Char"/>
    <w:qFormat/>
    <w:rsid w:val="00F8564D"/>
    <w:pPr>
      <w:keepNext/>
      <w:keepLines/>
      <w:numPr>
        <w:ilvl w:val="6"/>
        <w:numId w:val="1"/>
      </w:numPr>
      <w:spacing w:before="120"/>
      <w:outlineLvl w:val="6"/>
    </w:pPr>
    <w:rPr>
      <w:rFonts w:eastAsiaTheme="majorEastAsia" w:cs="Arial"/>
      <w:sz w:val="20"/>
    </w:rPr>
  </w:style>
  <w:style w:type="paragraph" w:styleId="Heading8">
    <w:name w:val="heading 8"/>
    <w:basedOn w:val="Heading7"/>
    <w:next w:val="Normal"/>
    <w:link w:val="Heading8Char"/>
    <w:qFormat/>
    <w:rsid w:val="00F8564D"/>
    <w:pPr>
      <w:numPr>
        <w:ilvl w:val="7"/>
        <w:numId w:val="11"/>
      </w:numPr>
      <w:outlineLvl w:val="7"/>
    </w:pPr>
  </w:style>
  <w:style w:type="paragraph" w:styleId="Heading9">
    <w:name w:val="heading 9"/>
    <w:aliases w:val="Figure Heading,FH"/>
    <w:basedOn w:val="Heading8"/>
    <w:next w:val="Normal"/>
    <w:link w:val="Heading9Char"/>
    <w:qFormat/>
    <w:rsid w:val="00F856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F8564D"/>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0C6B85"/>
    <w:pPr>
      <w:numPr>
        <w:numId w:val="13"/>
      </w:numPr>
      <w:ind w:left="360"/>
    </w:pPr>
    <w:rPr>
      <w:rFonts w:eastAsia="Times New Roman" w:cs="Times New Roman"/>
    </w:rPr>
  </w:style>
  <w:style w:type="paragraph" w:customStyle="1" w:styleId="Proposal">
    <w:name w:val="Proposal"/>
    <w:basedOn w:val="Normal"/>
    <w:qFormat/>
    <w:rsid w:val="00F8564D"/>
    <w:pPr>
      <w:numPr>
        <w:numId w:val="11"/>
      </w:numPr>
      <w:tabs>
        <w:tab w:val="num" w:leader="heavy" w:pos="2725"/>
      </w:tabs>
    </w:pPr>
    <w:rPr>
      <w:rFonts w:eastAsia="Times New Roman" w:cs="Times New Roman"/>
      <w:b/>
      <w:bCs/>
    </w:rPr>
  </w:style>
  <w:style w:type="paragraph" w:customStyle="1" w:styleId="Observation">
    <w:name w:val="Observation"/>
    <w:basedOn w:val="Normal"/>
    <w:autoRedefine/>
    <w:qFormat/>
    <w:rsid w:val="00F8564D"/>
    <w:pPr>
      <w:numPr>
        <w:numId w:val="12"/>
      </w:numPr>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F8564D"/>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F8564D"/>
    <w:rPr>
      <w:rFonts w:ascii="Arial" w:eastAsiaTheme="majorEastAsia" w:hAnsi="Arial" w:cs="Arial"/>
      <w:sz w:val="28"/>
      <w:szCs w:val="32"/>
      <w:lang w:val="en-GB" w:eastAsia="zh-CN"/>
    </w:rPr>
  </w:style>
  <w:style w:type="character" w:customStyle="1" w:styleId="Heading3Char">
    <w:name w:val="Heading 3 Char"/>
    <w:aliases w:val="H3 Char,h3 Char"/>
    <w:basedOn w:val="DefaultParagraphFont"/>
    <w:link w:val="Heading3"/>
    <w:rsid w:val="00F8564D"/>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8564D"/>
    <w:rPr>
      <w:rFonts w:ascii="Arial" w:eastAsiaTheme="majorEastAsia" w:hAnsi="Arial" w:cs="Arial"/>
      <w:sz w:val="24"/>
      <w:szCs w:val="24"/>
      <w:lang w:val="en-GB" w:eastAsia="zh-CN"/>
    </w:rPr>
  </w:style>
  <w:style w:type="character" w:customStyle="1" w:styleId="Heading5Char">
    <w:name w:val="Heading 5 Char"/>
    <w:aliases w:val="h5 Char,Heading5 Char"/>
    <w:basedOn w:val="DefaultParagraphFont"/>
    <w:link w:val="Heading5"/>
    <w:rsid w:val="00F8564D"/>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F8564D"/>
    <w:rPr>
      <w:rFonts w:eastAsiaTheme="majorEastAsia" w:cs="Arial"/>
      <w:sz w:val="20"/>
      <w:szCs w:val="20"/>
      <w:lang w:val="en-GB" w:eastAsia="zh-CN"/>
    </w:rPr>
  </w:style>
  <w:style w:type="character" w:customStyle="1" w:styleId="Heading7Char">
    <w:name w:val="Heading 7 Char"/>
    <w:basedOn w:val="DefaultParagraphFont"/>
    <w:link w:val="Heading7"/>
    <w:rsid w:val="00F8564D"/>
    <w:rPr>
      <w:rFonts w:eastAsiaTheme="majorEastAsia" w:cs="Arial"/>
      <w:sz w:val="20"/>
      <w:szCs w:val="20"/>
      <w:lang w:val="en-GB" w:eastAsia="zh-CN"/>
    </w:rPr>
  </w:style>
  <w:style w:type="character" w:customStyle="1" w:styleId="Heading8Char">
    <w:name w:val="Heading 8 Char"/>
    <w:basedOn w:val="DefaultParagraphFont"/>
    <w:link w:val="Heading8"/>
    <w:rsid w:val="00F8564D"/>
    <w:rPr>
      <w:rFonts w:eastAsiaTheme="majorEastAsia" w:cs="Arial"/>
      <w:sz w:val="20"/>
      <w:szCs w:val="20"/>
      <w:lang w:val="en-GB" w:eastAsia="zh-CN"/>
    </w:rPr>
  </w:style>
  <w:style w:type="character" w:customStyle="1" w:styleId="Heading9Char">
    <w:name w:val="Heading 9 Char"/>
    <w:aliases w:val="Figure Heading Char,FH Char"/>
    <w:basedOn w:val="DefaultParagraphFont"/>
    <w:link w:val="Heading9"/>
    <w:rsid w:val="00F8564D"/>
    <w:rPr>
      <w:rFonts w:eastAsiaTheme="majorEastAsia" w:cs="Arial"/>
      <w:sz w:val="20"/>
      <w:szCs w:val="20"/>
      <w:lang w:val="en-GB" w:eastAsia="zh-CN"/>
    </w:rPr>
  </w:style>
  <w:style w:type="paragraph" w:styleId="Caption">
    <w:name w:val="caption"/>
    <w:basedOn w:val="Normal"/>
    <w:next w:val="Normal"/>
    <w:qFormat/>
    <w:rsid w:val="00F8564D"/>
    <w:pPr>
      <w:spacing w:after="240"/>
      <w:jc w:val="center"/>
    </w:pPr>
    <w:rPr>
      <w:b/>
      <w:bCs/>
    </w:rPr>
  </w:style>
  <w:style w:type="paragraph" w:styleId="BodyText">
    <w:name w:val="Body Text"/>
    <w:basedOn w:val="Normal"/>
    <w:link w:val="BodyTextChar"/>
    <w:qFormat/>
    <w:rsid w:val="00F8564D"/>
    <w:rPr>
      <w:rFonts w:eastAsia="Times New Roman" w:cs="Times New Roman"/>
      <w:sz w:val="20"/>
    </w:rPr>
  </w:style>
  <w:style w:type="character" w:customStyle="1" w:styleId="BodyTextChar">
    <w:name w:val="Body Text Char"/>
    <w:basedOn w:val="DefaultParagraphFont"/>
    <w:link w:val="BodyText"/>
    <w:rsid w:val="00F8564D"/>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
    <w:basedOn w:val="Normal"/>
    <w:link w:val="ListParagraphChar"/>
    <w:uiPriority w:val="34"/>
    <w:qFormat/>
    <w:rsid w:val="00F8564D"/>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
    <w:link w:val="ListParagraph"/>
    <w:uiPriority w:val="34"/>
    <w:qFormat/>
    <w:locked/>
    <w:rsid w:val="00F8564D"/>
    <w:rPr>
      <w:rFonts w:eastAsia="SimSun"/>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iPriority w:val="99"/>
    <w:semiHidden/>
    <w:unhideWhenUsed/>
    <w:rsid w:val="001D0914"/>
    <w:rPr>
      <w:sz w:val="18"/>
      <w:szCs w:val="18"/>
    </w:rPr>
  </w:style>
  <w:style w:type="paragraph" w:styleId="CommentText">
    <w:name w:val="annotation text"/>
    <w:basedOn w:val="Normal"/>
    <w:link w:val="CommentTextChar"/>
    <w:uiPriority w:val="99"/>
    <w:semiHidden/>
    <w:unhideWhenUsed/>
    <w:rsid w:val="001D0914"/>
    <w:pPr>
      <w:jc w:val="left"/>
    </w:pPr>
  </w:style>
  <w:style w:type="character" w:customStyle="1" w:styleId="CommentTextChar">
    <w:name w:val="Comment Text Char"/>
    <w:basedOn w:val="DefaultParagraphFont"/>
    <w:link w:val="CommentText"/>
    <w:uiPriority w:val="99"/>
    <w:semiHidden/>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F8564D"/>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F8564D"/>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F8564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8564D"/>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F8564D"/>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F8564D"/>
    <w:rPr>
      <w:color w:val="5A5A5A" w:themeColor="text1" w:themeTint="A5"/>
      <w:spacing w:val="15"/>
      <w:lang w:val="en-GB" w:eastAsia="zh-CN"/>
    </w:rPr>
  </w:style>
  <w:style w:type="character" w:styleId="Strong">
    <w:name w:val="Strong"/>
    <w:basedOn w:val="DefaultParagraphFont"/>
    <w:uiPriority w:val="22"/>
    <w:qFormat/>
    <w:rsid w:val="00F8564D"/>
    <w:rPr>
      <w:b/>
      <w:bCs/>
    </w:rPr>
  </w:style>
  <w:style w:type="character" w:styleId="Emphasis">
    <w:name w:val="Emphasis"/>
    <w:basedOn w:val="DefaultParagraphFont"/>
    <w:uiPriority w:val="20"/>
    <w:qFormat/>
    <w:rsid w:val="00F8564D"/>
    <w:rPr>
      <w:i/>
      <w:iCs/>
    </w:rPr>
  </w:style>
  <w:style w:type="paragraph" w:styleId="NoSpacing">
    <w:name w:val="No Spacing"/>
    <w:uiPriority w:val="1"/>
    <w:qFormat/>
    <w:rsid w:val="00F8564D"/>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F8564D"/>
    <w:pPr>
      <w:spacing w:before="200" w:after="160"/>
      <w:ind w:left="864" w:right="864"/>
      <w:jc w:val="center"/>
    </w:pPr>
    <w:rPr>
      <w:i/>
      <w:iCs/>
      <w:color w:val="404040" w:themeColor="text1" w:themeTint="BF"/>
      <w:sz w:val="20"/>
    </w:rPr>
  </w:style>
  <w:style w:type="character" w:customStyle="1" w:styleId="QuoteChar">
    <w:name w:val="Quote Char"/>
    <w:basedOn w:val="DefaultParagraphFont"/>
    <w:link w:val="Quote"/>
    <w:uiPriority w:val="29"/>
    <w:rsid w:val="00F8564D"/>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F8564D"/>
    <w:pPr>
      <w:pBdr>
        <w:top w:val="single" w:sz="4" w:space="10" w:color="4472C4" w:themeColor="accent1"/>
        <w:bottom w:val="single" w:sz="4" w:space="10" w:color="4472C4" w:themeColor="accent1"/>
      </w:pBdr>
      <w:spacing w:before="360" w:after="360"/>
      <w:ind w:left="864" w:right="864"/>
      <w:jc w:val="center"/>
    </w:pPr>
    <w:rPr>
      <w:i/>
      <w:iCs/>
      <w:color w:val="4472C4" w:themeColor="accent1"/>
      <w:sz w:val="20"/>
    </w:rPr>
  </w:style>
  <w:style w:type="character" w:customStyle="1" w:styleId="IntenseQuoteChar">
    <w:name w:val="Intense Quote Char"/>
    <w:basedOn w:val="DefaultParagraphFont"/>
    <w:link w:val="IntenseQuote"/>
    <w:uiPriority w:val="30"/>
    <w:rsid w:val="00F8564D"/>
    <w:rPr>
      <w:i/>
      <w:iCs/>
      <w:color w:val="4472C4" w:themeColor="accent1"/>
      <w:sz w:val="20"/>
      <w:szCs w:val="20"/>
      <w:lang w:val="en-GB" w:eastAsia="zh-CN"/>
    </w:rPr>
  </w:style>
  <w:style w:type="character" w:styleId="SubtleEmphasis">
    <w:name w:val="Subtle Emphasis"/>
    <w:basedOn w:val="DefaultParagraphFont"/>
    <w:uiPriority w:val="19"/>
    <w:qFormat/>
    <w:rsid w:val="00F8564D"/>
    <w:rPr>
      <w:i/>
      <w:iCs/>
      <w:color w:val="404040" w:themeColor="text1" w:themeTint="BF"/>
    </w:rPr>
  </w:style>
  <w:style w:type="character" w:styleId="IntenseEmphasis">
    <w:name w:val="Intense Emphasis"/>
    <w:basedOn w:val="DefaultParagraphFont"/>
    <w:uiPriority w:val="21"/>
    <w:qFormat/>
    <w:rsid w:val="00F8564D"/>
    <w:rPr>
      <w:i/>
      <w:iCs/>
      <w:color w:val="4472C4" w:themeColor="accent1"/>
    </w:rPr>
  </w:style>
  <w:style w:type="character" w:styleId="SubtleReference">
    <w:name w:val="Subtle Reference"/>
    <w:basedOn w:val="DefaultParagraphFont"/>
    <w:uiPriority w:val="31"/>
    <w:qFormat/>
    <w:rsid w:val="00F8564D"/>
    <w:rPr>
      <w:smallCaps/>
      <w:color w:val="5A5A5A" w:themeColor="text1" w:themeTint="A5"/>
    </w:rPr>
  </w:style>
  <w:style w:type="character" w:styleId="IntenseReference">
    <w:name w:val="Intense Reference"/>
    <w:basedOn w:val="DefaultParagraphFont"/>
    <w:uiPriority w:val="32"/>
    <w:qFormat/>
    <w:rsid w:val="00F8564D"/>
    <w:rPr>
      <w:b/>
      <w:bCs/>
      <w:smallCaps/>
      <w:color w:val="4472C4" w:themeColor="accent1"/>
      <w:spacing w:val="5"/>
    </w:rPr>
  </w:style>
  <w:style w:type="character" w:styleId="BookTitle">
    <w:name w:val="Book Title"/>
    <w:basedOn w:val="DefaultParagraphFont"/>
    <w:uiPriority w:val="33"/>
    <w:qFormat/>
    <w:rsid w:val="00F8564D"/>
    <w:rPr>
      <w:b/>
      <w:bCs/>
      <w:i/>
      <w:iCs/>
      <w:spacing w:val="5"/>
    </w:rPr>
  </w:style>
  <w:style w:type="paragraph" w:styleId="TOCHeading">
    <w:name w:val="TOC Heading"/>
    <w:basedOn w:val="Heading1"/>
    <w:next w:val="Normal"/>
    <w:uiPriority w:val="39"/>
    <w:semiHidden/>
    <w:unhideWhenUsed/>
    <w:qFormat/>
    <w:rsid w:val="00F8564D"/>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F8564D"/>
    <w:rPr>
      <w:b/>
    </w:rPr>
  </w:style>
  <w:style w:type="character" w:customStyle="1" w:styleId="TAHCar">
    <w:name w:val="TAH Car"/>
    <w:link w:val="TAH"/>
    <w:qFormat/>
    <w:rsid w:val="00F8564D"/>
    <w:rPr>
      <w:rFonts w:ascii="Arial" w:eastAsia="Times New Roman" w:hAnsi="Arial" w:cs="Times New Roman"/>
      <w:b/>
      <w:sz w:val="18"/>
      <w:szCs w:val="20"/>
      <w:lang w:val="en-GB" w:eastAsia="ja-JP"/>
    </w:rPr>
  </w:style>
  <w:style w:type="paragraph" w:customStyle="1" w:styleId="TAC">
    <w:name w:val="TAC"/>
    <w:basedOn w:val="Normal"/>
    <w:link w:val="TACChar"/>
    <w:qFormat/>
    <w:rsid w:val="00F8564D"/>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F8564D"/>
    <w:rPr>
      <w:rFonts w:ascii="Arial" w:eastAsia="Times New Roman" w:hAnsi="Arial" w:cs="Times New Roman"/>
      <w:sz w:val="18"/>
      <w:szCs w:val="20"/>
      <w:lang w:val="en-GB" w:eastAsia="ja-JP"/>
    </w:rPr>
  </w:style>
  <w:style w:type="paragraph" w:styleId="NormalWeb">
    <w:name w:val="Normal (Web)"/>
    <w:basedOn w:val="Normal"/>
    <w:uiPriority w:val="99"/>
    <w:unhideWhenUsed/>
    <w:rsid w:val="00916AD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526871905">
      <w:bodyDiv w:val="1"/>
      <w:marLeft w:val="0"/>
      <w:marRight w:val="0"/>
      <w:marTop w:val="0"/>
      <w:marBottom w:val="0"/>
      <w:divBdr>
        <w:top w:val="none" w:sz="0" w:space="0" w:color="auto"/>
        <w:left w:val="none" w:sz="0" w:space="0" w:color="auto"/>
        <w:bottom w:val="none" w:sz="0" w:space="0" w:color="auto"/>
        <w:right w:val="none" w:sz="0" w:space="0" w:color="auto"/>
      </w:divBdr>
    </w:div>
    <w:div w:id="1535920059">
      <w:bodyDiv w:val="1"/>
      <w:marLeft w:val="0"/>
      <w:marRight w:val="0"/>
      <w:marTop w:val="0"/>
      <w:marBottom w:val="0"/>
      <w:divBdr>
        <w:top w:val="none" w:sz="0" w:space="0" w:color="auto"/>
        <w:left w:val="none" w:sz="0" w:space="0" w:color="auto"/>
        <w:bottom w:val="none" w:sz="0" w:space="0" w:color="auto"/>
        <w:right w:val="none" w:sz="0" w:space="0" w:color="auto"/>
      </w:divBdr>
    </w:div>
    <w:div w:id="1719207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60AA3-231E-4D74-B058-25403629E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MTI Tdoc</Template>
  <TotalTime>14973</TotalTime>
  <Pages>6</Pages>
  <Words>2297</Words>
  <Characters>13099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15366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 CHENG</cp:lastModifiedBy>
  <cp:revision>308</cp:revision>
  <dcterms:created xsi:type="dcterms:W3CDTF">2019-03-21T07:10:00Z</dcterms:created>
  <dcterms:modified xsi:type="dcterms:W3CDTF">2019-08-15T11:09:00Z</dcterms:modified>
</cp:coreProperties>
</file>